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6.xml" ContentType="application/vnd.openxmlformats-officedocument.drawingml.chart+xml"/>
  <Override PartName="/word/charts/chart7.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8.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B498447" w14:textId="77777777" w:rsidR="001426BF" w:rsidRDefault="00943921">
      <w:r>
        <w:tab/>
      </w:r>
      <w:r>
        <w:tab/>
      </w:r>
      <w:r>
        <w:tab/>
      </w:r>
      <w:r>
        <w:tab/>
      </w:r>
    </w:p>
    <w:p w14:paraId="6E6450F6" w14:textId="77777777" w:rsidR="000928CC" w:rsidRDefault="000928CC"/>
    <w:p w14:paraId="1982DDEA" w14:textId="77777777" w:rsidR="000928CC" w:rsidRDefault="000928CC">
      <w:r w:rsidRPr="00943921">
        <w:rPr>
          <w:noProof/>
        </w:rPr>
        <w:drawing>
          <wp:anchor distT="0" distB="0" distL="114300" distR="114300" simplePos="0" relativeHeight="251662336" behindDoc="1" locked="0" layoutInCell="1" allowOverlap="1" wp14:anchorId="22062AD2" wp14:editId="61A58298">
            <wp:simplePos x="0" y="0"/>
            <wp:positionH relativeFrom="column">
              <wp:posOffset>1886884</wp:posOffset>
            </wp:positionH>
            <wp:positionV relativeFrom="paragraph">
              <wp:posOffset>149262</wp:posOffset>
            </wp:positionV>
            <wp:extent cx="1553845" cy="1301750"/>
            <wp:effectExtent l="0" t="0" r="8255" b="0"/>
            <wp:wrapTight wrapText="bothSides">
              <wp:wrapPolygon edited="0">
                <wp:start x="0" y="0"/>
                <wp:lineTo x="0" y="21179"/>
                <wp:lineTo x="21450" y="21179"/>
                <wp:lineTo x="21450" y="0"/>
                <wp:lineTo x="0" y="0"/>
              </wp:wrapPolygon>
            </wp:wrapTight>
            <wp:docPr id="14" name="Picture 14" descr="C:\Users\DELL\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ELL\Desktop\images.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53845" cy="1301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C8806E4" w14:textId="77777777" w:rsidR="000928CC" w:rsidRDefault="000928CC"/>
    <w:p w14:paraId="197D2B1A" w14:textId="77777777" w:rsidR="00596197" w:rsidRDefault="00596197"/>
    <w:p w14:paraId="71EB48DA" w14:textId="77777777" w:rsidR="004A0796" w:rsidRDefault="004A0796" w:rsidP="004A0796">
      <w:pPr>
        <w:rPr>
          <w:rFonts w:ascii="Algerian" w:hAnsi="Algerian"/>
          <w:b/>
          <w:i/>
          <w:color w:val="FF0000"/>
          <w:sz w:val="52"/>
          <w:szCs w:val="52"/>
        </w:rPr>
      </w:pPr>
    </w:p>
    <w:p w14:paraId="6A56CD2D" w14:textId="77777777" w:rsidR="004A0796" w:rsidRPr="004A0796" w:rsidRDefault="004A0796" w:rsidP="004A0796">
      <w:pPr>
        <w:rPr>
          <w:rFonts w:ascii="Algerian" w:hAnsi="Algerian"/>
          <w:b/>
          <w:i/>
          <w:color w:val="FF0000"/>
          <w:sz w:val="36"/>
          <w:szCs w:val="52"/>
        </w:rPr>
      </w:pPr>
    </w:p>
    <w:p w14:paraId="1F0A2C77" w14:textId="77777777" w:rsidR="006B1373" w:rsidRPr="000E1C4B" w:rsidRDefault="001426BF" w:rsidP="001426BF">
      <w:pPr>
        <w:jc w:val="center"/>
        <w:rPr>
          <w:rFonts w:ascii="Algerian" w:hAnsi="Algerian"/>
          <w:b/>
          <w:i/>
          <w:color w:val="FF0000"/>
          <w:sz w:val="52"/>
          <w:szCs w:val="52"/>
        </w:rPr>
      </w:pPr>
      <w:r w:rsidRPr="000E1C4B">
        <w:rPr>
          <w:rFonts w:ascii="Algerian" w:hAnsi="Algerian"/>
          <w:b/>
          <w:i/>
          <w:color w:val="FF0000"/>
          <w:sz w:val="52"/>
          <w:szCs w:val="52"/>
        </w:rPr>
        <w:t>BAYELSA STATE GOVERNMENT OF NIGERIA</w:t>
      </w:r>
    </w:p>
    <w:p w14:paraId="64588108" w14:textId="77777777" w:rsidR="001426BF" w:rsidRPr="000E1C4B" w:rsidRDefault="001426BF" w:rsidP="001426BF">
      <w:pPr>
        <w:jc w:val="center"/>
        <w:rPr>
          <w:rFonts w:ascii="Algerian" w:hAnsi="Algerian"/>
          <w:b/>
          <w:i/>
          <w:color w:val="00B0F0"/>
          <w:sz w:val="52"/>
          <w:szCs w:val="52"/>
        </w:rPr>
      </w:pPr>
      <w:r w:rsidRPr="000E1C4B">
        <w:rPr>
          <w:rFonts w:ascii="Algerian" w:hAnsi="Algerian"/>
          <w:b/>
          <w:i/>
          <w:color w:val="00B0F0"/>
          <w:sz w:val="52"/>
          <w:szCs w:val="52"/>
        </w:rPr>
        <w:t>THE GLORY OF ALL LANDS</w:t>
      </w:r>
    </w:p>
    <w:p w14:paraId="325B0BC4" w14:textId="77777777" w:rsidR="001426BF" w:rsidRPr="000E1C4B" w:rsidRDefault="007F6756" w:rsidP="001426BF">
      <w:pPr>
        <w:jc w:val="center"/>
        <w:rPr>
          <w:rFonts w:ascii="Algerian" w:hAnsi="Algerian"/>
          <w:b/>
          <w:i/>
          <w:color w:val="70AD47" w:themeColor="accent6"/>
          <w:sz w:val="52"/>
          <w:szCs w:val="52"/>
        </w:rPr>
      </w:pPr>
      <w:r>
        <w:rPr>
          <w:rFonts w:ascii="Algerian" w:hAnsi="Algerian"/>
          <w:b/>
          <w:i/>
          <w:color w:val="70AD47" w:themeColor="accent6"/>
          <w:sz w:val="52"/>
          <w:szCs w:val="52"/>
        </w:rPr>
        <w:t>2020</w:t>
      </w:r>
      <w:r w:rsidR="001426BF" w:rsidRPr="000E1C4B">
        <w:rPr>
          <w:rFonts w:ascii="Algerian" w:hAnsi="Algerian"/>
          <w:b/>
          <w:i/>
          <w:color w:val="70AD47" w:themeColor="accent6"/>
          <w:sz w:val="52"/>
          <w:szCs w:val="52"/>
        </w:rPr>
        <w:t xml:space="preserve"> </w:t>
      </w:r>
      <w:r w:rsidR="00482F18">
        <w:rPr>
          <w:rFonts w:ascii="Algerian" w:hAnsi="Algerian"/>
          <w:b/>
          <w:i/>
          <w:color w:val="70AD47" w:themeColor="accent6"/>
          <w:sz w:val="52"/>
          <w:szCs w:val="52"/>
        </w:rPr>
        <w:t>REVISED</w:t>
      </w:r>
      <w:r w:rsidR="009A77AC">
        <w:rPr>
          <w:rFonts w:ascii="Algerian" w:hAnsi="Algerian"/>
          <w:b/>
          <w:i/>
          <w:color w:val="70AD47" w:themeColor="accent6"/>
          <w:sz w:val="52"/>
          <w:szCs w:val="52"/>
        </w:rPr>
        <w:t xml:space="preserve"> COVID 19 </w:t>
      </w:r>
      <w:proofErr w:type="spellStart"/>
      <w:r w:rsidR="009A77AC">
        <w:rPr>
          <w:rFonts w:ascii="Algerian" w:hAnsi="Algerian"/>
          <w:b/>
          <w:i/>
          <w:color w:val="70AD47" w:themeColor="accent6"/>
          <w:sz w:val="52"/>
          <w:szCs w:val="52"/>
        </w:rPr>
        <w:t>RESPONSive</w:t>
      </w:r>
      <w:proofErr w:type="spellEnd"/>
      <w:r w:rsidR="001426BF" w:rsidRPr="000E1C4B">
        <w:rPr>
          <w:rFonts w:ascii="Algerian" w:hAnsi="Algerian"/>
          <w:b/>
          <w:i/>
          <w:color w:val="70AD47" w:themeColor="accent6"/>
          <w:sz w:val="52"/>
          <w:szCs w:val="52"/>
        </w:rPr>
        <w:t xml:space="preserve"> CITIZENS BUDGET</w:t>
      </w:r>
      <w:r w:rsidR="00C700E4">
        <w:rPr>
          <w:rFonts w:ascii="Algerian" w:hAnsi="Algerian"/>
          <w:b/>
          <w:i/>
          <w:color w:val="70AD47" w:themeColor="accent6"/>
          <w:sz w:val="52"/>
          <w:szCs w:val="52"/>
        </w:rPr>
        <w:t xml:space="preserve"> ESTIMATES</w:t>
      </w:r>
    </w:p>
    <w:p w14:paraId="69DF1B58" w14:textId="77777777" w:rsidR="0066188A" w:rsidRPr="003F3148" w:rsidRDefault="00FE1BD0" w:rsidP="003F3148">
      <w:pPr>
        <w:jc w:val="center"/>
        <w:rPr>
          <w:rFonts w:ascii="Algerian" w:hAnsi="Algerian"/>
          <w:b/>
          <w:i/>
          <w:color w:val="2E74B5" w:themeColor="accent1" w:themeShade="BF"/>
          <w:sz w:val="40"/>
          <w:szCs w:val="40"/>
        </w:rPr>
      </w:pPr>
      <w:r>
        <w:rPr>
          <w:rFonts w:ascii="Algerian" w:hAnsi="Algerian"/>
          <w:b/>
          <w:i/>
          <w:color w:val="2E74B5" w:themeColor="accent1" w:themeShade="BF"/>
          <w:sz w:val="52"/>
          <w:szCs w:val="52"/>
        </w:rPr>
        <w:t>(</w:t>
      </w:r>
      <w:r w:rsidRPr="00825C61">
        <w:rPr>
          <w:rFonts w:ascii="Algerian" w:hAnsi="Algerian"/>
          <w:b/>
          <w:i/>
          <w:color w:val="2E74B5" w:themeColor="accent1" w:themeShade="BF"/>
          <w:sz w:val="40"/>
          <w:szCs w:val="40"/>
        </w:rPr>
        <w:t>BUDGET OF CONSOLIDATION FOR PROSPERITY</w:t>
      </w:r>
      <w:r w:rsidR="001426BF" w:rsidRPr="00825C61">
        <w:rPr>
          <w:rFonts w:ascii="Algerian" w:hAnsi="Algerian"/>
          <w:b/>
          <w:i/>
          <w:color w:val="2E74B5" w:themeColor="accent1" w:themeShade="BF"/>
          <w:sz w:val="40"/>
          <w:szCs w:val="40"/>
        </w:rPr>
        <w:t>)</w:t>
      </w:r>
    </w:p>
    <w:p w14:paraId="2F28E133" w14:textId="77777777" w:rsidR="0066188A" w:rsidRDefault="00B11380" w:rsidP="001426BF">
      <w:pPr>
        <w:rPr>
          <w:rFonts w:ascii="Arial" w:hAnsi="Arial" w:cs="Arial"/>
          <w:sz w:val="28"/>
          <w:szCs w:val="28"/>
        </w:rPr>
      </w:pPr>
      <w:r w:rsidRPr="00B11380">
        <w:rPr>
          <w:noProof/>
          <w:sz w:val="24"/>
          <w:szCs w:val="24"/>
        </w:rPr>
        <w:lastRenderedPageBreak/>
        <w:drawing>
          <wp:anchor distT="0" distB="0" distL="114300" distR="114300" simplePos="0" relativeHeight="251658240" behindDoc="1" locked="0" layoutInCell="1" allowOverlap="1" wp14:anchorId="258FE5ED" wp14:editId="1C746D5F">
            <wp:simplePos x="0" y="0"/>
            <wp:positionH relativeFrom="column">
              <wp:posOffset>586105</wp:posOffset>
            </wp:positionH>
            <wp:positionV relativeFrom="paragraph">
              <wp:posOffset>306070</wp:posOffset>
            </wp:positionV>
            <wp:extent cx="3588385" cy="3608705"/>
            <wp:effectExtent l="0" t="0" r="0" b="0"/>
            <wp:wrapTight wrapText="bothSides">
              <wp:wrapPolygon edited="0">
                <wp:start x="0" y="0"/>
                <wp:lineTo x="0" y="21437"/>
                <wp:lineTo x="21443" y="21437"/>
                <wp:lineTo x="21443"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a:extLst>
                        <a:ext uri="{28A0092B-C50C-407E-A947-70E740481C1C}">
                          <a14:useLocalDpi xmlns:a14="http://schemas.microsoft.com/office/drawing/2010/main" val="0"/>
                        </a:ext>
                      </a:extLst>
                    </a:blip>
                    <a:srcRect l="10691" t="5179" r="45207" b="55175"/>
                    <a:stretch/>
                  </pic:blipFill>
                  <pic:spPr bwMode="auto">
                    <a:xfrm>
                      <a:off x="0" y="0"/>
                      <a:ext cx="3588385" cy="36087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Arial" w:hAnsi="Arial" w:cs="Arial"/>
          <w:sz w:val="28"/>
          <w:szCs w:val="28"/>
        </w:rPr>
        <w:br/>
      </w:r>
    </w:p>
    <w:p w14:paraId="4E544063" w14:textId="77777777" w:rsidR="00B11380" w:rsidRDefault="00B11380" w:rsidP="001426BF">
      <w:pPr>
        <w:rPr>
          <w:rFonts w:ascii="Arial" w:hAnsi="Arial" w:cs="Arial"/>
          <w:sz w:val="28"/>
          <w:szCs w:val="28"/>
        </w:rPr>
      </w:pPr>
    </w:p>
    <w:p w14:paraId="1136EE29" w14:textId="77777777" w:rsidR="00B11380" w:rsidRDefault="00B11380" w:rsidP="001426BF">
      <w:pPr>
        <w:rPr>
          <w:rFonts w:ascii="Arial" w:hAnsi="Arial" w:cs="Arial"/>
          <w:sz w:val="28"/>
          <w:szCs w:val="28"/>
        </w:rPr>
      </w:pPr>
    </w:p>
    <w:p w14:paraId="035B465B" w14:textId="77777777" w:rsidR="00B11380" w:rsidRDefault="00B11380" w:rsidP="001426BF">
      <w:pPr>
        <w:rPr>
          <w:rFonts w:ascii="Arial" w:hAnsi="Arial" w:cs="Arial"/>
          <w:sz w:val="28"/>
          <w:szCs w:val="28"/>
        </w:rPr>
      </w:pPr>
    </w:p>
    <w:p w14:paraId="5FA6D205" w14:textId="77777777" w:rsidR="00B11380" w:rsidRDefault="00B11380" w:rsidP="001426BF">
      <w:pPr>
        <w:rPr>
          <w:rFonts w:ascii="Arial" w:hAnsi="Arial" w:cs="Arial"/>
          <w:sz w:val="28"/>
          <w:szCs w:val="28"/>
        </w:rPr>
      </w:pPr>
    </w:p>
    <w:p w14:paraId="1DD3F62A" w14:textId="77777777" w:rsidR="00B11380" w:rsidRDefault="00B11380" w:rsidP="001426BF">
      <w:pPr>
        <w:rPr>
          <w:rFonts w:ascii="Arial" w:hAnsi="Arial" w:cs="Arial"/>
          <w:sz w:val="28"/>
          <w:szCs w:val="28"/>
        </w:rPr>
      </w:pPr>
    </w:p>
    <w:p w14:paraId="679775C2" w14:textId="77777777" w:rsidR="00B11380" w:rsidRDefault="00B11380" w:rsidP="001426BF">
      <w:pPr>
        <w:rPr>
          <w:rFonts w:ascii="Arial" w:hAnsi="Arial" w:cs="Arial"/>
          <w:sz w:val="28"/>
          <w:szCs w:val="28"/>
        </w:rPr>
      </w:pPr>
    </w:p>
    <w:p w14:paraId="388D7EC6" w14:textId="77777777" w:rsidR="00B11380" w:rsidRDefault="00B11380" w:rsidP="001426BF">
      <w:pPr>
        <w:rPr>
          <w:rFonts w:ascii="Arial" w:hAnsi="Arial" w:cs="Arial"/>
          <w:sz w:val="28"/>
          <w:szCs w:val="28"/>
        </w:rPr>
      </w:pPr>
    </w:p>
    <w:p w14:paraId="27454FF7" w14:textId="77777777" w:rsidR="00B11380" w:rsidRDefault="00B11380" w:rsidP="001426BF">
      <w:pPr>
        <w:rPr>
          <w:rFonts w:ascii="Arial" w:hAnsi="Arial" w:cs="Arial"/>
          <w:sz w:val="28"/>
          <w:szCs w:val="28"/>
        </w:rPr>
      </w:pPr>
    </w:p>
    <w:p w14:paraId="29198EFF" w14:textId="77777777" w:rsidR="00B11380" w:rsidRDefault="00B11380" w:rsidP="001426BF">
      <w:pPr>
        <w:rPr>
          <w:rFonts w:ascii="Arial" w:hAnsi="Arial" w:cs="Arial"/>
          <w:sz w:val="28"/>
          <w:szCs w:val="28"/>
        </w:rPr>
      </w:pPr>
    </w:p>
    <w:p w14:paraId="548FA56D" w14:textId="77777777" w:rsidR="00B11380" w:rsidRPr="001F5A47" w:rsidRDefault="009B5639" w:rsidP="003F3148">
      <w:pPr>
        <w:rPr>
          <w:rFonts w:ascii="Arial" w:hAnsi="Arial" w:cs="Arial"/>
          <w:b/>
          <w:color w:val="00B050"/>
          <w:sz w:val="28"/>
          <w:szCs w:val="28"/>
          <w:u w:val="single"/>
        </w:rPr>
      </w:pPr>
      <w:r w:rsidRPr="001F5A47">
        <w:rPr>
          <w:rFonts w:ascii="Arial" w:hAnsi="Arial" w:cs="Arial"/>
          <w:b/>
          <w:color w:val="00B050"/>
          <w:sz w:val="28"/>
          <w:szCs w:val="28"/>
          <w:u w:val="single"/>
        </w:rPr>
        <w:t>GENERL FRAME WORK</w:t>
      </w:r>
    </w:p>
    <w:p w14:paraId="25CA29CE" w14:textId="77777777" w:rsidR="009B5639" w:rsidRDefault="009B5639" w:rsidP="009B5639">
      <w:pPr>
        <w:jc w:val="center"/>
        <w:rPr>
          <w:rFonts w:ascii="Arial" w:hAnsi="Arial" w:cs="Arial"/>
          <w:sz w:val="28"/>
          <w:szCs w:val="28"/>
        </w:rPr>
      </w:pPr>
      <w:r>
        <w:rPr>
          <w:rFonts w:ascii="Arial" w:hAnsi="Arial" w:cs="Arial"/>
          <w:sz w:val="28"/>
          <w:szCs w:val="28"/>
        </w:rPr>
        <w:t>2020</w:t>
      </w:r>
      <w:r w:rsidR="007C7B89">
        <w:rPr>
          <w:rFonts w:ascii="Arial" w:hAnsi="Arial" w:cs="Arial"/>
          <w:sz w:val="28"/>
          <w:szCs w:val="28"/>
        </w:rPr>
        <w:t xml:space="preserve"> Revised</w:t>
      </w:r>
      <w:r>
        <w:rPr>
          <w:rFonts w:ascii="Arial" w:hAnsi="Arial" w:cs="Arial"/>
          <w:sz w:val="28"/>
          <w:szCs w:val="28"/>
        </w:rPr>
        <w:t xml:space="preserve"> COVID-19 Responsive </w:t>
      </w:r>
      <w:r w:rsidR="00C62739">
        <w:rPr>
          <w:rFonts w:ascii="Arial" w:hAnsi="Arial" w:cs="Arial"/>
          <w:sz w:val="28"/>
          <w:szCs w:val="28"/>
        </w:rPr>
        <w:t xml:space="preserve">Citizens </w:t>
      </w:r>
      <w:r>
        <w:rPr>
          <w:rFonts w:ascii="Arial" w:hAnsi="Arial" w:cs="Arial"/>
          <w:sz w:val="28"/>
          <w:szCs w:val="28"/>
        </w:rPr>
        <w:t>Budget Summary</w:t>
      </w:r>
    </w:p>
    <w:p w14:paraId="57B28A31" w14:textId="77777777" w:rsidR="00B11380" w:rsidRPr="001F5A47" w:rsidRDefault="001F5A47" w:rsidP="001426BF">
      <w:pPr>
        <w:rPr>
          <w:rFonts w:ascii="Arial" w:hAnsi="Arial" w:cs="Arial"/>
          <w:b/>
          <w:sz w:val="28"/>
          <w:szCs w:val="28"/>
        </w:rPr>
      </w:pPr>
      <w:r w:rsidRPr="001F5A47">
        <w:rPr>
          <w:rFonts w:ascii="Arial" w:hAnsi="Arial" w:cs="Arial"/>
          <w:b/>
          <w:sz w:val="28"/>
          <w:szCs w:val="28"/>
        </w:rPr>
        <w:t>TOTAL BUDGET EXPENDITURE</w:t>
      </w:r>
      <w:r w:rsidR="00CC71F9">
        <w:rPr>
          <w:rFonts w:ascii="Arial" w:hAnsi="Arial" w:cs="Arial"/>
          <w:b/>
          <w:sz w:val="28"/>
          <w:szCs w:val="28"/>
        </w:rPr>
        <w:t xml:space="preserve"> IS</w:t>
      </w:r>
      <w:r w:rsidR="00C62739">
        <w:rPr>
          <w:rFonts w:ascii="Arial" w:hAnsi="Arial" w:cs="Arial"/>
          <w:b/>
          <w:sz w:val="28"/>
          <w:szCs w:val="28"/>
        </w:rPr>
        <w:t xml:space="preserve"> </w:t>
      </w:r>
      <w:r w:rsidR="000F6BC6" w:rsidRPr="000F6BC6">
        <w:rPr>
          <w:rFonts w:ascii="Arial" w:hAnsi="Arial" w:cs="Arial"/>
          <w:b/>
          <w:dstrike/>
          <w:sz w:val="26"/>
        </w:rPr>
        <w:t>N</w:t>
      </w:r>
      <w:r w:rsidR="00C62739">
        <w:rPr>
          <w:rFonts w:ascii="Arial" w:hAnsi="Arial" w:cs="Arial"/>
          <w:b/>
          <w:sz w:val="28"/>
          <w:szCs w:val="28"/>
        </w:rPr>
        <w:t>183.156</w:t>
      </w:r>
      <w:r w:rsidRPr="001F5A47">
        <w:rPr>
          <w:rFonts w:ascii="Arial" w:hAnsi="Arial" w:cs="Arial"/>
          <w:b/>
          <w:sz w:val="28"/>
          <w:szCs w:val="28"/>
        </w:rPr>
        <w:t xml:space="preserve"> BILLION</w:t>
      </w:r>
    </w:p>
    <w:p w14:paraId="776C6924" w14:textId="77777777" w:rsidR="00B11380" w:rsidRDefault="009B5639" w:rsidP="001426BF">
      <w:pPr>
        <w:rPr>
          <w:rFonts w:ascii="Arial" w:hAnsi="Arial" w:cs="Arial"/>
          <w:sz w:val="28"/>
          <w:szCs w:val="28"/>
        </w:rPr>
      </w:pPr>
      <w:r>
        <w:rPr>
          <w:rFonts w:ascii="Arial" w:hAnsi="Arial" w:cs="Arial"/>
          <w:noProof/>
          <w:sz w:val="28"/>
          <w:szCs w:val="28"/>
        </w:rPr>
        <mc:AlternateContent>
          <mc:Choice Requires="wps">
            <w:drawing>
              <wp:anchor distT="0" distB="0" distL="114300" distR="114300" simplePos="0" relativeHeight="251661312" behindDoc="1" locked="0" layoutInCell="1" allowOverlap="1" wp14:anchorId="399498CC" wp14:editId="14B6A84C">
                <wp:simplePos x="0" y="0"/>
                <wp:positionH relativeFrom="column">
                  <wp:posOffset>3077055</wp:posOffset>
                </wp:positionH>
                <wp:positionV relativeFrom="paragraph">
                  <wp:posOffset>163231</wp:posOffset>
                </wp:positionV>
                <wp:extent cx="2664000" cy="1965600"/>
                <wp:effectExtent l="19050" t="19050" r="41275" b="34925"/>
                <wp:wrapTight wrapText="bothSides">
                  <wp:wrapPolygon edited="0">
                    <wp:start x="8805" y="-209"/>
                    <wp:lineTo x="6951" y="-209"/>
                    <wp:lineTo x="2472" y="2094"/>
                    <wp:lineTo x="2472" y="3141"/>
                    <wp:lineTo x="309" y="5862"/>
                    <wp:lineTo x="-154" y="7537"/>
                    <wp:lineTo x="-154" y="13609"/>
                    <wp:lineTo x="927" y="16540"/>
                    <wp:lineTo x="1081" y="16750"/>
                    <wp:lineTo x="4016" y="20100"/>
                    <wp:lineTo x="8032" y="21774"/>
                    <wp:lineTo x="8341" y="21774"/>
                    <wp:lineTo x="13284" y="21774"/>
                    <wp:lineTo x="13439" y="21774"/>
                    <wp:lineTo x="17610" y="19890"/>
                    <wp:lineTo x="17764" y="19890"/>
                    <wp:lineTo x="20699" y="16750"/>
                    <wp:lineTo x="20699" y="16540"/>
                    <wp:lineTo x="21780" y="13400"/>
                    <wp:lineTo x="21780" y="8794"/>
                    <wp:lineTo x="21317" y="6490"/>
                    <wp:lineTo x="19618" y="3769"/>
                    <wp:lineTo x="19154" y="2303"/>
                    <wp:lineTo x="14366" y="-209"/>
                    <wp:lineTo x="12821" y="-209"/>
                    <wp:lineTo x="8805" y="-209"/>
                  </wp:wrapPolygon>
                </wp:wrapTight>
                <wp:docPr id="11" name="Oval 11"/>
                <wp:cNvGraphicFramePr/>
                <a:graphic xmlns:a="http://schemas.openxmlformats.org/drawingml/2006/main">
                  <a:graphicData uri="http://schemas.microsoft.com/office/word/2010/wordprocessingShape">
                    <wps:wsp>
                      <wps:cNvSpPr/>
                      <wps:spPr>
                        <a:xfrm>
                          <a:off x="0" y="0"/>
                          <a:ext cx="2664000" cy="1965600"/>
                        </a:xfrm>
                        <a:prstGeom prst="ellipse">
                          <a:avLst/>
                        </a:prstGeom>
                        <a:noFill/>
                        <a:ln w="57150">
                          <a:solidFill>
                            <a:srgbClr val="FF0000"/>
                          </a:solidFill>
                        </a:ln>
                      </wps:spPr>
                      <wps:style>
                        <a:lnRef idx="2">
                          <a:schemeClr val="dk1"/>
                        </a:lnRef>
                        <a:fillRef idx="1">
                          <a:schemeClr val="lt1"/>
                        </a:fillRef>
                        <a:effectRef idx="0">
                          <a:schemeClr val="dk1"/>
                        </a:effectRef>
                        <a:fontRef idx="minor">
                          <a:schemeClr val="dk1"/>
                        </a:fontRef>
                      </wps:style>
                      <wps:txbx>
                        <w:txbxContent>
                          <w:p w14:paraId="33E72893" w14:textId="77777777" w:rsidR="009B5639" w:rsidRPr="009B5639" w:rsidRDefault="009B5639" w:rsidP="009B5639">
                            <w:pPr>
                              <w:jc w:val="center"/>
                              <w:rPr>
                                <w:rFonts w:ascii="Arial" w:hAnsi="Arial" w:cs="Arial"/>
                                <w:b/>
                                <w:sz w:val="26"/>
                              </w:rPr>
                            </w:pPr>
                            <w:r w:rsidRPr="000F6BC6">
                              <w:rPr>
                                <w:rFonts w:ascii="Arial" w:hAnsi="Arial" w:cs="Arial"/>
                                <w:b/>
                                <w:dstrike/>
                                <w:sz w:val="26"/>
                              </w:rPr>
                              <w:t>N</w:t>
                            </w:r>
                            <w:r w:rsidR="00E309DF">
                              <w:rPr>
                                <w:rFonts w:ascii="Arial" w:hAnsi="Arial" w:cs="Arial"/>
                                <w:b/>
                                <w:sz w:val="26"/>
                              </w:rPr>
                              <w:t>5.500</w:t>
                            </w:r>
                            <w:r w:rsidRPr="009B5639">
                              <w:rPr>
                                <w:rFonts w:ascii="Arial" w:hAnsi="Arial" w:cs="Arial"/>
                                <w:b/>
                                <w:sz w:val="26"/>
                              </w:rPr>
                              <w:t xml:space="preserve"> BILLION </w:t>
                            </w:r>
                          </w:p>
                          <w:p w14:paraId="460C5888" w14:textId="77777777" w:rsidR="009B5639" w:rsidRPr="009B5639" w:rsidRDefault="00E309DF" w:rsidP="009B5639">
                            <w:pPr>
                              <w:jc w:val="center"/>
                              <w:rPr>
                                <w:rFonts w:ascii="Arial" w:hAnsi="Arial" w:cs="Arial"/>
                                <w:b/>
                                <w:sz w:val="26"/>
                              </w:rPr>
                            </w:pPr>
                            <w:r>
                              <w:rPr>
                                <w:rFonts w:ascii="Arial" w:hAnsi="Arial" w:cs="Arial"/>
                                <w:b/>
                                <w:sz w:val="26"/>
                              </w:rPr>
                              <w:t>LOAN AS</w:t>
                            </w:r>
                            <w:r w:rsidR="003E4722">
                              <w:rPr>
                                <w:rFonts w:ascii="Arial" w:hAnsi="Arial" w:cs="Arial"/>
                                <w:b/>
                                <w:sz w:val="26"/>
                              </w:rPr>
                              <w:t xml:space="preserve"> DEFICIT</w:t>
                            </w:r>
                            <w:r>
                              <w:rPr>
                                <w:rFonts w:ascii="Arial" w:hAnsi="Arial" w:cs="Arial"/>
                                <w:b/>
                                <w:sz w:val="26"/>
                              </w:rPr>
                              <w:t xml:space="preserve"> FINANCING ITEM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4A4F472" id="Oval 11" o:spid="_x0000_s1026" style="position:absolute;margin-left:242.3pt;margin-top:12.85pt;width:209.75pt;height:154.7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" filled="f" strokecolor="red" strokeweight="4.5pt">
                <v:stroke joinstyle="miter"/>
                <v:textbox>
                  <w:txbxContent>
                    <w:p w:rsidR="009B5639" w:rsidRPr="009B5639" w:rsidRDefault="009B5639" w:rsidP="009B5639">
                      <w:pPr>
                        <w:jc w:val="center"/>
                        <w:rPr>
                          <w:rFonts w:ascii="Arial" w:hAnsi="Arial" w:cs="Arial"/>
                          <w:b/>
                          <w:sz w:val="26"/>
                        </w:rPr>
                      </w:pPr>
                      <w:r w:rsidRPr="000F6BC6">
                        <w:rPr>
                          <w:rFonts w:ascii="Arial" w:hAnsi="Arial" w:cs="Arial"/>
                          <w:b/>
                          <w:dstrike/>
                          <w:sz w:val="26"/>
                        </w:rPr>
                        <w:t>N</w:t>
                      </w:r>
                      <w:r w:rsidR="00E309DF">
                        <w:rPr>
                          <w:rFonts w:ascii="Arial" w:hAnsi="Arial" w:cs="Arial"/>
                          <w:b/>
                          <w:sz w:val="26"/>
                        </w:rPr>
                        <w:t>5.500</w:t>
                      </w:r>
                      <w:r w:rsidRPr="009B5639">
                        <w:rPr>
                          <w:rFonts w:ascii="Arial" w:hAnsi="Arial" w:cs="Arial"/>
                          <w:b/>
                          <w:sz w:val="26"/>
                        </w:rPr>
                        <w:t xml:space="preserve"> BILLION </w:t>
                      </w:r>
                    </w:p>
                    <w:p w:rsidR="009B5639" w:rsidRPr="009B5639" w:rsidRDefault="00E309DF" w:rsidP="009B5639">
                      <w:pPr>
                        <w:jc w:val="center"/>
                        <w:rPr>
                          <w:rFonts w:ascii="Arial" w:hAnsi="Arial" w:cs="Arial"/>
                          <w:b/>
                          <w:sz w:val="26"/>
                        </w:rPr>
                      </w:pPr>
                      <w:r>
                        <w:rPr>
                          <w:rFonts w:ascii="Arial" w:hAnsi="Arial" w:cs="Arial"/>
                          <w:b/>
                          <w:sz w:val="26"/>
                        </w:rPr>
                        <w:t>LOAN AS</w:t>
                      </w:r>
                      <w:r w:rsidR="003E4722">
                        <w:rPr>
                          <w:rFonts w:ascii="Arial" w:hAnsi="Arial" w:cs="Arial"/>
                          <w:b/>
                          <w:sz w:val="26"/>
                        </w:rPr>
                        <w:t xml:space="preserve"> DEFICIT</w:t>
                      </w:r>
                      <w:r>
                        <w:rPr>
                          <w:rFonts w:ascii="Arial" w:hAnsi="Arial" w:cs="Arial"/>
                          <w:b/>
                          <w:sz w:val="26"/>
                        </w:rPr>
                        <w:t xml:space="preserve"> FINANCING ITEM</w:t>
                      </w:r>
                    </w:p>
                  </w:txbxContent>
                </v:textbox>
                <w10:wrap type="tight"/>
              </v:oval>
            </w:pict>
          </mc:Fallback>
        </mc:AlternateContent>
      </w:r>
      <w:r>
        <w:rPr>
          <w:rFonts w:ascii="Arial" w:hAnsi="Arial" w:cs="Arial"/>
          <w:noProof/>
          <w:sz w:val="28"/>
          <w:szCs w:val="28"/>
        </w:rPr>
        <mc:AlternateContent>
          <mc:Choice Requires="wps">
            <w:drawing>
              <wp:anchor distT="0" distB="0" distL="114300" distR="114300" simplePos="0" relativeHeight="251659264" behindDoc="1" locked="0" layoutInCell="1" allowOverlap="1" wp14:anchorId="3E632B73" wp14:editId="7D86AB52">
                <wp:simplePos x="0" y="0"/>
                <wp:positionH relativeFrom="column">
                  <wp:posOffset>-302057</wp:posOffset>
                </wp:positionH>
                <wp:positionV relativeFrom="paragraph">
                  <wp:posOffset>156953</wp:posOffset>
                </wp:positionV>
                <wp:extent cx="2664000" cy="1965600"/>
                <wp:effectExtent l="19050" t="19050" r="41275" b="34925"/>
                <wp:wrapTight wrapText="bothSides">
                  <wp:wrapPolygon edited="0">
                    <wp:start x="8805" y="-209"/>
                    <wp:lineTo x="6951" y="-209"/>
                    <wp:lineTo x="2472" y="2094"/>
                    <wp:lineTo x="2472" y="3141"/>
                    <wp:lineTo x="309" y="5862"/>
                    <wp:lineTo x="-154" y="7537"/>
                    <wp:lineTo x="-154" y="13609"/>
                    <wp:lineTo x="927" y="16540"/>
                    <wp:lineTo x="1081" y="16750"/>
                    <wp:lineTo x="4016" y="20100"/>
                    <wp:lineTo x="8032" y="21774"/>
                    <wp:lineTo x="8341" y="21774"/>
                    <wp:lineTo x="13284" y="21774"/>
                    <wp:lineTo x="13439" y="21774"/>
                    <wp:lineTo x="17610" y="19890"/>
                    <wp:lineTo x="17764" y="19890"/>
                    <wp:lineTo x="20699" y="16750"/>
                    <wp:lineTo x="20699" y="16540"/>
                    <wp:lineTo x="21780" y="13400"/>
                    <wp:lineTo x="21780" y="8794"/>
                    <wp:lineTo x="21317" y="6490"/>
                    <wp:lineTo x="19618" y="3769"/>
                    <wp:lineTo x="19154" y="2303"/>
                    <wp:lineTo x="14366" y="-209"/>
                    <wp:lineTo x="12821" y="-209"/>
                    <wp:lineTo x="8805" y="-209"/>
                  </wp:wrapPolygon>
                </wp:wrapTight>
                <wp:docPr id="10" name="Oval 10"/>
                <wp:cNvGraphicFramePr/>
                <a:graphic xmlns:a="http://schemas.openxmlformats.org/drawingml/2006/main">
                  <a:graphicData uri="http://schemas.microsoft.com/office/word/2010/wordprocessingShape">
                    <wps:wsp>
                      <wps:cNvSpPr/>
                      <wps:spPr>
                        <a:xfrm>
                          <a:off x="0" y="0"/>
                          <a:ext cx="2664000" cy="1965600"/>
                        </a:xfrm>
                        <a:prstGeom prst="ellipse">
                          <a:avLst/>
                        </a:prstGeom>
                        <a:noFill/>
                        <a:ln w="57150">
                          <a:solidFill>
                            <a:srgbClr val="FF0000"/>
                          </a:solidFill>
                        </a:ln>
                      </wps:spPr>
                      <wps:style>
                        <a:lnRef idx="2">
                          <a:schemeClr val="dk1"/>
                        </a:lnRef>
                        <a:fillRef idx="1">
                          <a:schemeClr val="lt1"/>
                        </a:fillRef>
                        <a:effectRef idx="0">
                          <a:schemeClr val="dk1"/>
                        </a:effectRef>
                        <a:fontRef idx="minor">
                          <a:schemeClr val="dk1"/>
                        </a:fontRef>
                      </wps:style>
                      <wps:txbx>
                        <w:txbxContent>
                          <w:p w14:paraId="2B31B6F0" w14:textId="77777777" w:rsidR="009B5639" w:rsidRPr="009B5639" w:rsidRDefault="000F6BC6" w:rsidP="009B5639">
                            <w:pPr>
                              <w:jc w:val="center"/>
                              <w:rPr>
                                <w:rFonts w:ascii="Arial" w:hAnsi="Arial" w:cs="Arial"/>
                                <w:b/>
                                <w:sz w:val="26"/>
                              </w:rPr>
                            </w:pPr>
                            <w:r w:rsidRPr="000F6BC6">
                              <w:rPr>
                                <w:rFonts w:ascii="Arial" w:hAnsi="Arial" w:cs="Arial"/>
                                <w:b/>
                                <w:dstrike/>
                                <w:sz w:val="26"/>
                              </w:rPr>
                              <w:t>N</w:t>
                            </w:r>
                            <w:r w:rsidR="00E309DF">
                              <w:rPr>
                                <w:rFonts w:ascii="Arial" w:hAnsi="Arial" w:cs="Arial"/>
                                <w:b/>
                                <w:sz w:val="26"/>
                              </w:rPr>
                              <w:t>177.656</w:t>
                            </w:r>
                            <w:r w:rsidR="009B5639" w:rsidRPr="009B5639">
                              <w:rPr>
                                <w:rFonts w:ascii="Arial" w:hAnsi="Arial" w:cs="Arial"/>
                                <w:b/>
                                <w:sz w:val="26"/>
                              </w:rPr>
                              <w:t xml:space="preserve"> BILLION </w:t>
                            </w:r>
                          </w:p>
                          <w:p w14:paraId="2D43DC98" w14:textId="77777777" w:rsidR="009B5639" w:rsidRPr="009B5639" w:rsidRDefault="00654D9B" w:rsidP="009B5639">
                            <w:pPr>
                              <w:jc w:val="center"/>
                              <w:rPr>
                                <w:rFonts w:ascii="Arial" w:hAnsi="Arial" w:cs="Arial"/>
                                <w:b/>
                                <w:sz w:val="26"/>
                              </w:rPr>
                            </w:pPr>
                            <w:r>
                              <w:rPr>
                                <w:rFonts w:ascii="Arial" w:hAnsi="Arial" w:cs="Arial"/>
                                <w:b/>
                                <w:sz w:val="26"/>
                              </w:rPr>
                              <w:t>TOTAL REVENUE EX</w:t>
                            </w:r>
                            <w:r w:rsidR="009B5639" w:rsidRPr="009B5639">
                              <w:rPr>
                                <w:rFonts w:ascii="Arial" w:hAnsi="Arial" w:cs="Arial"/>
                                <w:b/>
                                <w:sz w:val="26"/>
                              </w:rPr>
                              <w:t>LUDING LOANS.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49EDB8E" id="Oval 10" o:spid="_x0000_s1027" style="position:absolute;margin-left:-23.8pt;margin-top:12.35pt;width:209.75pt;height:154.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" filled="f" strokecolor="red" strokeweight="4.5pt">
                <v:stroke joinstyle="miter"/>
                <v:textbox>
                  <w:txbxContent>
                    <w:p w:rsidR="009B5639" w:rsidRPr="009B5639" w:rsidRDefault="000F6BC6" w:rsidP="009B5639">
                      <w:pPr>
                        <w:jc w:val="center"/>
                        <w:rPr>
                          <w:rFonts w:ascii="Arial" w:hAnsi="Arial" w:cs="Arial"/>
                          <w:b/>
                          <w:sz w:val="26"/>
                        </w:rPr>
                      </w:pPr>
                      <w:r w:rsidRPr="000F6BC6">
                        <w:rPr>
                          <w:rFonts w:ascii="Arial" w:hAnsi="Arial" w:cs="Arial"/>
                          <w:b/>
                          <w:dstrike/>
                          <w:sz w:val="26"/>
                        </w:rPr>
                        <w:t>N</w:t>
                      </w:r>
                      <w:r w:rsidR="00E309DF">
                        <w:rPr>
                          <w:rFonts w:ascii="Arial" w:hAnsi="Arial" w:cs="Arial"/>
                          <w:b/>
                          <w:sz w:val="26"/>
                        </w:rPr>
                        <w:t>177.656</w:t>
                      </w:r>
                      <w:r w:rsidR="009B5639" w:rsidRPr="009B5639">
                        <w:rPr>
                          <w:rFonts w:ascii="Arial" w:hAnsi="Arial" w:cs="Arial"/>
                          <w:b/>
                          <w:sz w:val="26"/>
                        </w:rPr>
                        <w:t xml:space="preserve"> BILLION </w:t>
                      </w:r>
                    </w:p>
                    <w:p w:rsidR="009B5639" w:rsidRPr="009B5639" w:rsidRDefault="00654D9B" w:rsidP="009B5639">
                      <w:pPr>
                        <w:jc w:val="center"/>
                        <w:rPr>
                          <w:rFonts w:ascii="Arial" w:hAnsi="Arial" w:cs="Arial"/>
                          <w:b/>
                          <w:sz w:val="26"/>
                        </w:rPr>
                      </w:pPr>
                      <w:r>
                        <w:rPr>
                          <w:rFonts w:ascii="Arial" w:hAnsi="Arial" w:cs="Arial"/>
                          <w:b/>
                          <w:sz w:val="26"/>
                        </w:rPr>
                        <w:t>TOTAL REVENUE EX</w:t>
                      </w:r>
                      <w:r w:rsidR="009B5639" w:rsidRPr="009B5639">
                        <w:rPr>
                          <w:rFonts w:ascii="Arial" w:hAnsi="Arial" w:cs="Arial"/>
                          <w:b/>
                          <w:sz w:val="26"/>
                        </w:rPr>
                        <w:t>LUDING LOANS.</w:t>
                      </w:r>
                    </w:p>
                  </w:txbxContent>
                </v:textbox>
                <w10:wrap type="tight"/>
              </v:oval>
            </w:pict>
          </mc:Fallback>
        </mc:AlternateContent>
      </w:r>
    </w:p>
    <w:p w14:paraId="150A8723" w14:textId="77777777" w:rsidR="00B11380" w:rsidRDefault="00B11380" w:rsidP="001426BF">
      <w:pPr>
        <w:rPr>
          <w:rFonts w:ascii="Arial" w:hAnsi="Arial" w:cs="Arial"/>
          <w:sz w:val="28"/>
          <w:szCs w:val="28"/>
        </w:rPr>
      </w:pPr>
    </w:p>
    <w:p w14:paraId="4FEF0356" w14:textId="77777777" w:rsidR="00B11380" w:rsidRDefault="00B11380" w:rsidP="001426BF">
      <w:pPr>
        <w:rPr>
          <w:rFonts w:ascii="Arial" w:hAnsi="Arial" w:cs="Arial"/>
          <w:sz w:val="28"/>
          <w:szCs w:val="28"/>
        </w:rPr>
      </w:pPr>
    </w:p>
    <w:p w14:paraId="1F5FC7DF" w14:textId="77777777" w:rsidR="00B11380" w:rsidRDefault="00B11380" w:rsidP="001426BF">
      <w:pPr>
        <w:rPr>
          <w:rFonts w:ascii="Arial" w:hAnsi="Arial" w:cs="Arial"/>
          <w:sz w:val="28"/>
          <w:szCs w:val="28"/>
        </w:rPr>
      </w:pPr>
    </w:p>
    <w:p w14:paraId="38837062" w14:textId="77777777" w:rsidR="00B11380" w:rsidRDefault="00B11380" w:rsidP="001426BF">
      <w:pPr>
        <w:rPr>
          <w:rFonts w:ascii="Arial" w:hAnsi="Arial" w:cs="Arial"/>
          <w:sz w:val="28"/>
          <w:szCs w:val="28"/>
        </w:rPr>
      </w:pPr>
    </w:p>
    <w:p w14:paraId="257B2630" w14:textId="77777777" w:rsidR="00B11380" w:rsidRDefault="00B11380" w:rsidP="001426BF">
      <w:pPr>
        <w:rPr>
          <w:rFonts w:ascii="Arial" w:hAnsi="Arial" w:cs="Arial"/>
          <w:sz w:val="28"/>
          <w:szCs w:val="28"/>
        </w:rPr>
      </w:pPr>
    </w:p>
    <w:p w14:paraId="0074B6F7" w14:textId="77777777" w:rsidR="00B11380" w:rsidRDefault="00B11380" w:rsidP="001426BF">
      <w:pPr>
        <w:rPr>
          <w:rFonts w:ascii="Arial" w:hAnsi="Arial" w:cs="Arial"/>
          <w:sz w:val="28"/>
          <w:szCs w:val="28"/>
        </w:rPr>
      </w:pPr>
    </w:p>
    <w:p w14:paraId="189BC5B3" w14:textId="77777777" w:rsidR="009B5639" w:rsidRDefault="0066188A" w:rsidP="0066188A">
      <w:pPr>
        <w:rPr>
          <w:rFonts w:ascii="Arial" w:hAnsi="Arial" w:cs="Arial"/>
          <w:sz w:val="28"/>
          <w:szCs w:val="28"/>
        </w:rPr>
      </w:pPr>
      <w:r>
        <w:rPr>
          <w:rFonts w:ascii="Arial" w:hAnsi="Arial" w:cs="Arial"/>
          <w:sz w:val="28"/>
          <w:szCs w:val="28"/>
        </w:rPr>
        <w:t xml:space="preserve">                                         </w:t>
      </w:r>
    </w:p>
    <w:p w14:paraId="2AFC1EB3" w14:textId="77777777" w:rsidR="00372DBB" w:rsidRPr="003C4309" w:rsidRDefault="00372DBB" w:rsidP="00372DBB">
      <w:pPr>
        <w:pBdr>
          <w:bottom w:val="single" w:sz="6" w:space="1" w:color="auto"/>
        </w:pBdr>
        <w:jc w:val="center"/>
        <w:rPr>
          <w:rFonts w:ascii="Arial" w:hAnsi="Arial" w:cs="Arial"/>
          <w:b/>
          <w:color w:val="000000" w:themeColor="text1"/>
          <w:sz w:val="26"/>
        </w:rPr>
      </w:pPr>
      <w:r w:rsidRPr="00C90A70">
        <w:rPr>
          <w:rFonts w:ascii="Arial" w:hAnsi="Arial" w:cs="Arial"/>
          <w:color w:val="0070C0"/>
          <w:sz w:val="28"/>
          <w:szCs w:val="28"/>
        </w:rPr>
        <w:t xml:space="preserve">    </w:t>
      </w:r>
      <w:r w:rsidR="001F1491">
        <w:rPr>
          <w:rFonts w:ascii="Arial" w:hAnsi="Arial" w:cs="Arial"/>
          <w:b/>
          <w:color w:val="FF0000"/>
          <w:sz w:val="28"/>
          <w:szCs w:val="28"/>
        </w:rPr>
        <w:t>REVENUE EX</w:t>
      </w:r>
      <w:r w:rsidRPr="003C4309">
        <w:rPr>
          <w:rFonts w:ascii="Arial" w:hAnsi="Arial" w:cs="Arial"/>
          <w:b/>
          <w:color w:val="FF0000"/>
          <w:sz w:val="28"/>
          <w:szCs w:val="28"/>
        </w:rPr>
        <w:t xml:space="preserve">CLUDING LOANS   +   </w:t>
      </w:r>
      <w:r w:rsidR="000810B7">
        <w:rPr>
          <w:rFonts w:ascii="Arial" w:hAnsi="Arial" w:cs="Arial"/>
          <w:b/>
          <w:color w:val="FF0000"/>
          <w:sz w:val="28"/>
          <w:szCs w:val="28"/>
        </w:rPr>
        <w:t xml:space="preserve"> LOAN AS</w:t>
      </w:r>
      <w:r w:rsidR="00EC28B2" w:rsidRPr="003C4309">
        <w:rPr>
          <w:rFonts w:ascii="Arial" w:hAnsi="Arial" w:cs="Arial"/>
          <w:b/>
          <w:color w:val="FF0000"/>
          <w:sz w:val="28"/>
          <w:szCs w:val="28"/>
        </w:rPr>
        <w:t xml:space="preserve"> FINANCING</w:t>
      </w:r>
      <w:r w:rsidR="00EC28B2" w:rsidRPr="003C4309">
        <w:rPr>
          <w:rFonts w:ascii="Arial" w:hAnsi="Arial" w:cs="Arial"/>
          <w:color w:val="FF0000"/>
          <w:sz w:val="28"/>
          <w:szCs w:val="28"/>
        </w:rPr>
        <w:t xml:space="preserve"> </w:t>
      </w:r>
      <w:r w:rsidR="000810B7">
        <w:rPr>
          <w:rFonts w:ascii="Arial" w:hAnsi="Arial" w:cs="Arial"/>
          <w:b/>
          <w:color w:val="FF0000"/>
          <w:sz w:val="28"/>
          <w:szCs w:val="28"/>
        </w:rPr>
        <w:t>ITEM</w:t>
      </w:r>
      <w:r w:rsidR="00DD190B">
        <w:rPr>
          <w:rFonts w:ascii="Arial" w:hAnsi="Arial" w:cs="Arial"/>
          <w:b/>
          <w:color w:val="FF0000"/>
          <w:sz w:val="28"/>
          <w:szCs w:val="28"/>
        </w:rPr>
        <w:t xml:space="preserve"> </w:t>
      </w:r>
      <w:r w:rsidRPr="008610CD">
        <w:rPr>
          <w:rFonts w:ascii="Arial" w:hAnsi="Arial" w:cs="Arial"/>
          <w:b/>
          <w:color w:val="FF0000"/>
          <w:sz w:val="28"/>
          <w:szCs w:val="28"/>
        </w:rPr>
        <w:t xml:space="preserve"> </w:t>
      </w:r>
      <w:r w:rsidR="00EC28B2" w:rsidRPr="008610CD">
        <w:rPr>
          <w:rFonts w:ascii="Arial" w:hAnsi="Arial" w:cs="Arial"/>
          <w:b/>
          <w:color w:val="FF0000"/>
          <w:sz w:val="28"/>
          <w:szCs w:val="28"/>
        </w:rPr>
        <w:t xml:space="preserve"> </w:t>
      </w:r>
      <w:r w:rsidRPr="008610CD">
        <w:rPr>
          <w:rFonts w:ascii="Arial" w:hAnsi="Arial" w:cs="Arial"/>
          <w:b/>
          <w:color w:val="FF0000"/>
          <w:sz w:val="28"/>
          <w:szCs w:val="28"/>
        </w:rPr>
        <w:t>= TOTAL BUDGET</w:t>
      </w:r>
      <w:r w:rsidR="00DD190B">
        <w:rPr>
          <w:rFonts w:ascii="Arial" w:hAnsi="Arial" w:cs="Arial"/>
          <w:b/>
          <w:color w:val="FF0000"/>
          <w:sz w:val="28"/>
          <w:szCs w:val="28"/>
        </w:rPr>
        <w:t>ED</w:t>
      </w:r>
      <w:r w:rsidRPr="008610CD">
        <w:rPr>
          <w:rFonts w:ascii="Arial" w:hAnsi="Arial" w:cs="Arial"/>
          <w:b/>
          <w:color w:val="FF0000"/>
          <w:sz w:val="28"/>
          <w:szCs w:val="28"/>
        </w:rPr>
        <w:t xml:space="preserve"> REVENUE OF</w:t>
      </w:r>
      <w:r w:rsidR="00EC28B2" w:rsidRPr="008610CD">
        <w:rPr>
          <w:rFonts w:ascii="Arial" w:hAnsi="Arial" w:cs="Arial"/>
          <w:b/>
          <w:color w:val="FF0000"/>
          <w:sz w:val="28"/>
          <w:szCs w:val="28"/>
        </w:rPr>
        <w:t xml:space="preserve">   </w:t>
      </w:r>
      <w:r w:rsidR="003C4309" w:rsidRPr="008610CD">
        <w:rPr>
          <w:rFonts w:ascii="Arial" w:hAnsi="Arial" w:cs="Arial"/>
          <w:b/>
          <w:dstrike/>
          <w:color w:val="FF0000"/>
          <w:sz w:val="26"/>
        </w:rPr>
        <w:t>N</w:t>
      </w:r>
      <w:r w:rsidR="003C4309" w:rsidRPr="008610CD">
        <w:rPr>
          <w:rFonts w:ascii="Arial" w:hAnsi="Arial" w:cs="Arial"/>
          <w:b/>
          <w:color w:val="FF0000"/>
          <w:sz w:val="26"/>
        </w:rPr>
        <w:t>183.156</w:t>
      </w:r>
      <w:r w:rsidRPr="008610CD">
        <w:rPr>
          <w:rFonts w:ascii="Arial" w:hAnsi="Arial" w:cs="Arial"/>
          <w:b/>
          <w:color w:val="FF0000"/>
          <w:sz w:val="26"/>
        </w:rPr>
        <w:t xml:space="preserve"> BILLION </w:t>
      </w:r>
    </w:p>
    <w:p w14:paraId="253280A0" w14:textId="77777777" w:rsidR="00C90A70" w:rsidRPr="009C3330" w:rsidRDefault="00C90A70" w:rsidP="00C90A70">
      <w:pPr>
        <w:rPr>
          <w:rFonts w:ascii="Copperplate Gothic Bold" w:hAnsi="Copperplate Gothic Bold" w:cs="Arial"/>
          <w:b/>
          <w:color w:val="C00000"/>
          <w:sz w:val="28"/>
          <w:szCs w:val="28"/>
        </w:rPr>
      </w:pPr>
      <w:r>
        <w:rPr>
          <w:rFonts w:ascii="Arial" w:hAnsi="Arial" w:cs="Arial"/>
          <w:b/>
          <w:sz w:val="26"/>
        </w:rPr>
        <w:t xml:space="preserve">                                  </w:t>
      </w:r>
      <w:r w:rsidRPr="009C3330">
        <w:rPr>
          <w:rFonts w:ascii="Copperplate Gothic Bold" w:hAnsi="Copperplate Gothic Bold" w:cs="Arial"/>
          <w:b/>
          <w:color w:val="C00000"/>
          <w:sz w:val="28"/>
          <w:szCs w:val="28"/>
        </w:rPr>
        <w:t>BALANCED    BUDGET</w:t>
      </w:r>
    </w:p>
    <w:p w14:paraId="1D7D2FD0" w14:textId="77777777" w:rsidR="00C90A70" w:rsidRPr="009B5639" w:rsidRDefault="00C90A70" w:rsidP="00372DBB">
      <w:pPr>
        <w:jc w:val="center"/>
        <w:rPr>
          <w:rFonts w:ascii="Arial" w:hAnsi="Arial" w:cs="Arial"/>
          <w:b/>
          <w:sz w:val="26"/>
        </w:rPr>
      </w:pPr>
    </w:p>
    <w:p w14:paraId="66A00ACD" w14:textId="77777777" w:rsidR="009B5639" w:rsidRDefault="00EC28B2" w:rsidP="0066188A">
      <w:pPr>
        <w:rPr>
          <w:rFonts w:ascii="Arial" w:hAnsi="Arial" w:cs="Arial"/>
          <w:sz w:val="28"/>
          <w:szCs w:val="28"/>
        </w:rPr>
      </w:pPr>
      <w:r>
        <w:rPr>
          <w:rFonts w:ascii="Arial" w:hAnsi="Arial" w:cs="Arial"/>
          <w:sz w:val="28"/>
          <w:szCs w:val="28"/>
        </w:rPr>
        <w:t xml:space="preserve">                                  </w:t>
      </w:r>
    </w:p>
    <w:p w14:paraId="24CB4090" w14:textId="77777777" w:rsidR="001426BF" w:rsidRPr="0066188A" w:rsidRDefault="001426BF" w:rsidP="009B5639">
      <w:pPr>
        <w:jc w:val="center"/>
        <w:rPr>
          <w:rFonts w:ascii="Arial" w:hAnsi="Arial" w:cs="Arial"/>
          <w:sz w:val="28"/>
          <w:szCs w:val="28"/>
        </w:rPr>
      </w:pPr>
      <w:r w:rsidRPr="00762987">
        <w:rPr>
          <w:rFonts w:ascii="Algerian" w:hAnsi="Algerian" w:cs="Arial"/>
          <w:b/>
          <w:color w:val="0070C0"/>
          <w:sz w:val="44"/>
          <w:szCs w:val="44"/>
        </w:rPr>
        <w:lastRenderedPageBreak/>
        <w:t>TABLE OF CONTENT</w:t>
      </w:r>
    </w:p>
    <w:p w14:paraId="2478ADA1" w14:textId="77777777" w:rsidR="00DE3082" w:rsidRPr="00DE3082" w:rsidRDefault="00DE3082" w:rsidP="00DE3082">
      <w:pPr>
        <w:rPr>
          <w:rFonts w:ascii="Algerian" w:hAnsi="Algerian" w:cs="Arial"/>
          <w:b/>
          <w:color w:val="0070C0"/>
          <w:sz w:val="44"/>
          <w:szCs w:val="44"/>
        </w:rPr>
      </w:pPr>
    </w:p>
    <w:p w14:paraId="44A9C0BF" w14:textId="77777777" w:rsidR="00DE3082" w:rsidRPr="00762987" w:rsidRDefault="00DE3082" w:rsidP="00DE3082">
      <w:pPr>
        <w:pStyle w:val="ListParagraph"/>
        <w:numPr>
          <w:ilvl w:val="0"/>
          <w:numId w:val="1"/>
        </w:numPr>
        <w:spacing w:line="480" w:lineRule="auto"/>
        <w:rPr>
          <w:rFonts w:ascii="Bernard MT Condensed" w:hAnsi="Bernard MT Condensed" w:cs="Arial"/>
          <w:color w:val="0070C0"/>
          <w:sz w:val="32"/>
          <w:szCs w:val="32"/>
        </w:rPr>
      </w:pPr>
      <w:r w:rsidRPr="00762987">
        <w:rPr>
          <w:rFonts w:ascii="Bernard MT Condensed" w:hAnsi="Bernard MT Condensed" w:cs="Arial"/>
          <w:color w:val="0070C0"/>
          <w:sz w:val="32"/>
          <w:szCs w:val="32"/>
        </w:rPr>
        <w:t>Economic Assumptions u</w:t>
      </w:r>
      <w:r w:rsidR="007F6756">
        <w:rPr>
          <w:rFonts w:ascii="Bernard MT Condensed" w:hAnsi="Bernard MT Condensed" w:cs="Arial"/>
          <w:color w:val="0070C0"/>
          <w:sz w:val="32"/>
          <w:szCs w:val="32"/>
        </w:rPr>
        <w:t xml:space="preserve">nderlying the Bayelsa </w:t>
      </w:r>
      <w:r w:rsidR="009A77AC">
        <w:rPr>
          <w:rFonts w:ascii="Bernard MT Condensed" w:hAnsi="Bernard MT Condensed" w:cs="Arial"/>
          <w:color w:val="0070C0"/>
          <w:sz w:val="32"/>
          <w:szCs w:val="32"/>
        </w:rPr>
        <w:t>State</w:t>
      </w:r>
      <w:r w:rsidR="00C14066">
        <w:rPr>
          <w:rFonts w:ascii="Bernard MT Condensed" w:hAnsi="Bernard MT Condensed" w:cs="Arial"/>
          <w:color w:val="0070C0"/>
          <w:sz w:val="32"/>
          <w:szCs w:val="32"/>
        </w:rPr>
        <w:t xml:space="preserve"> Revised</w:t>
      </w:r>
      <w:r w:rsidR="009A77AC">
        <w:rPr>
          <w:rFonts w:ascii="Bernard MT Condensed" w:hAnsi="Bernard MT Condensed" w:cs="Arial"/>
          <w:color w:val="0070C0"/>
          <w:sz w:val="32"/>
          <w:szCs w:val="32"/>
        </w:rPr>
        <w:t xml:space="preserve"> 2020 COVID 19 RESPONSIVE</w:t>
      </w:r>
      <w:r w:rsidRPr="00762987">
        <w:rPr>
          <w:rFonts w:ascii="Bernard MT Condensed" w:hAnsi="Bernard MT Condensed" w:cs="Arial"/>
          <w:color w:val="0070C0"/>
          <w:sz w:val="32"/>
          <w:szCs w:val="32"/>
        </w:rPr>
        <w:t xml:space="preserve"> Budget.</w:t>
      </w:r>
    </w:p>
    <w:p w14:paraId="3F542F43" w14:textId="77777777" w:rsidR="00DE3082" w:rsidRPr="00DE3082" w:rsidRDefault="009A77AC" w:rsidP="00DE3082">
      <w:pPr>
        <w:pStyle w:val="ListParagraph"/>
        <w:numPr>
          <w:ilvl w:val="0"/>
          <w:numId w:val="1"/>
        </w:numPr>
        <w:spacing w:line="480" w:lineRule="auto"/>
        <w:rPr>
          <w:rFonts w:ascii="Bernard MT Condensed" w:hAnsi="Bernard MT Condensed" w:cs="Arial"/>
          <w:color w:val="0070C0"/>
          <w:sz w:val="32"/>
          <w:szCs w:val="32"/>
        </w:rPr>
      </w:pPr>
      <w:r>
        <w:rPr>
          <w:rFonts w:ascii="Bernard MT Condensed" w:hAnsi="Bernard MT Condensed" w:cs="Arial"/>
          <w:color w:val="0070C0"/>
          <w:sz w:val="32"/>
          <w:szCs w:val="32"/>
        </w:rPr>
        <w:t>The 2020</w:t>
      </w:r>
      <w:r w:rsidR="00C14066">
        <w:rPr>
          <w:rFonts w:ascii="Bernard MT Condensed" w:hAnsi="Bernard MT Condensed" w:cs="Arial"/>
          <w:color w:val="0070C0"/>
          <w:sz w:val="32"/>
          <w:szCs w:val="32"/>
        </w:rPr>
        <w:t xml:space="preserve"> REVISED</w:t>
      </w:r>
      <w:r>
        <w:rPr>
          <w:rFonts w:ascii="Bernard MT Condensed" w:hAnsi="Bernard MT Condensed" w:cs="Arial"/>
          <w:color w:val="0070C0"/>
          <w:sz w:val="32"/>
          <w:szCs w:val="32"/>
        </w:rPr>
        <w:t xml:space="preserve"> COVID 19 RESPONSIVE</w:t>
      </w:r>
      <w:r w:rsidR="00DE3082" w:rsidRPr="00762987">
        <w:rPr>
          <w:rFonts w:ascii="Bernard MT Condensed" w:hAnsi="Bernard MT Condensed" w:cs="Arial"/>
          <w:color w:val="0070C0"/>
          <w:sz w:val="32"/>
          <w:szCs w:val="32"/>
        </w:rPr>
        <w:t xml:space="preserve"> Fisca</w:t>
      </w:r>
      <w:r w:rsidR="00BC655D">
        <w:rPr>
          <w:rFonts w:ascii="Bernard MT Condensed" w:hAnsi="Bernard MT Condensed" w:cs="Arial"/>
          <w:color w:val="0070C0"/>
          <w:sz w:val="32"/>
          <w:szCs w:val="32"/>
        </w:rPr>
        <w:t xml:space="preserve">l Framework (Revenue Budget </w:t>
      </w:r>
      <w:r w:rsidR="003A4179">
        <w:rPr>
          <w:rFonts w:ascii="Bernard MT Condensed" w:hAnsi="Bernard MT Condensed" w:cs="Arial"/>
          <w:color w:val="0070C0"/>
          <w:sz w:val="32"/>
          <w:szCs w:val="32"/>
        </w:rPr>
        <w:t>and Expenditure Budget Size – HOW THE MONEY WILL COME IN &amp; HOW IT WILL BE SPENT)</w:t>
      </w:r>
    </w:p>
    <w:p w14:paraId="1BA5E8F2" w14:textId="77777777" w:rsidR="001426BF" w:rsidRPr="00BC655D" w:rsidRDefault="00904571" w:rsidP="00BC655D">
      <w:pPr>
        <w:pStyle w:val="ListParagraph"/>
        <w:numPr>
          <w:ilvl w:val="0"/>
          <w:numId w:val="1"/>
        </w:numPr>
        <w:spacing w:line="480" w:lineRule="auto"/>
        <w:rPr>
          <w:rFonts w:ascii="Bernard MT Condensed" w:hAnsi="Bernard MT Condensed" w:cs="Arial"/>
          <w:color w:val="0070C0"/>
          <w:sz w:val="32"/>
          <w:szCs w:val="32"/>
        </w:rPr>
      </w:pPr>
      <w:r>
        <w:rPr>
          <w:rFonts w:ascii="Bernard MT Condensed" w:hAnsi="Bernard MT Condensed" w:cs="Arial"/>
          <w:color w:val="0070C0"/>
          <w:sz w:val="32"/>
          <w:szCs w:val="32"/>
        </w:rPr>
        <w:t>The 2019</w:t>
      </w:r>
      <w:r w:rsidR="001426BF" w:rsidRPr="00762987">
        <w:rPr>
          <w:rFonts w:ascii="Bernard MT Condensed" w:hAnsi="Bernard MT Condensed" w:cs="Arial"/>
          <w:color w:val="0070C0"/>
          <w:sz w:val="32"/>
          <w:szCs w:val="32"/>
        </w:rPr>
        <w:t xml:space="preserve"> Budget performance (Revenue and Expenditure).</w:t>
      </w:r>
    </w:p>
    <w:p w14:paraId="46E649F4" w14:textId="77777777" w:rsidR="00F856E8" w:rsidRPr="00360C9B" w:rsidRDefault="00F856E8" w:rsidP="00360C9B">
      <w:pPr>
        <w:pStyle w:val="ListParagraph"/>
        <w:numPr>
          <w:ilvl w:val="0"/>
          <w:numId w:val="1"/>
        </w:numPr>
        <w:spacing w:line="480" w:lineRule="auto"/>
        <w:rPr>
          <w:rFonts w:ascii="Bernard MT Condensed" w:hAnsi="Bernard MT Condensed" w:cs="Arial"/>
          <w:color w:val="0070C0"/>
          <w:sz w:val="32"/>
          <w:szCs w:val="32"/>
        </w:rPr>
      </w:pPr>
      <w:r w:rsidRPr="00762987">
        <w:rPr>
          <w:rFonts w:ascii="Bernard MT Condensed" w:hAnsi="Bernard MT Condensed" w:cs="Arial"/>
          <w:color w:val="0070C0"/>
          <w:sz w:val="32"/>
          <w:szCs w:val="32"/>
        </w:rPr>
        <w:t>The Budget Process</w:t>
      </w:r>
    </w:p>
    <w:p w14:paraId="0BAFFEC5" w14:textId="77777777" w:rsidR="00F856E8" w:rsidRPr="00762987" w:rsidRDefault="00F856E8" w:rsidP="00596197">
      <w:pPr>
        <w:pStyle w:val="ListParagraph"/>
        <w:numPr>
          <w:ilvl w:val="0"/>
          <w:numId w:val="1"/>
        </w:numPr>
        <w:spacing w:line="480" w:lineRule="auto"/>
        <w:rPr>
          <w:rFonts w:ascii="Bernard MT Condensed" w:hAnsi="Bernard MT Condensed" w:cs="Arial"/>
          <w:color w:val="0070C0"/>
          <w:sz w:val="32"/>
          <w:szCs w:val="32"/>
        </w:rPr>
      </w:pPr>
      <w:r w:rsidRPr="00762987">
        <w:rPr>
          <w:rFonts w:ascii="Bernard MT Condensed" w:hAnsi="Bernard MT Condensed" w:cs="Arial"/>
          <w:color w:val="0070C0"/>
          <w:sz w:val="32"/>
          <w:szCs w:val="32"/>
        </w:rPr>
        <w:t>Priorities in Allocation of Expenditure</w:t>
      </w:r>
    </w:p>
    <w:p w14:paraId="79CD78F8" w14:textId="77777777" w:rsidR="00F856E8" w:rsidRPr="00762987" w:rsidRDefault="00F856E8" w:rsidP="00596197">
      <w:pPr>
        <w:pStyle w:val="ListParagraph"/>
        <w:numPr>
          <w:ilvl w:val="0"/>
          <w:numId w:val="1"/>
        </w:numPr>
        <w:spacing w:line="480" w:lineRule="auto"/>
        <w:rPr>
          <w:rFonts w:ascii="Bernard MT Condensed" w:hAnsi="Bernard MT Condensed" w:cs="Arial"/>
          <w:color w:val="0070C0"/>
          <w:sz w:val="32"/>
          <w:szCs w:val="32"/>
        </w:rPr>
      </w:pPr>
      <w:r w:rsidRPr="00762987">
        <w:rPr>
          <w:rFonts w:ascii="Bernard MT Condensed" w:hAnsi="Bernard MT Condensed" w:cs="Arial"/>
          <w:color w:val="0070C0"/>
          <w:sz w:val="32"/>
          <w:szCs w:val="32"/>
        </w:rPr>
        <w:t>Significant New Measures</w:t>
      </w:r>
    </w:p>
    <w:p w14:paraId="5AA6C524" w14:textId="77777777" w:rsidR="00F856E8" w:rsidRPr="00762987" w:rsidRDefault="00F856E8" w:rsidP="00596197">
      <w:pPr>
        <w:pStyle w:val="ListParagraph"/>
        <w:numPr>
          <w:ilvl w:val="0"/>
          <w:numId w:val="1"/>
        </w:numPr>
        <w:spacing w:line="480" w:lineRule="auto"/>
        <w:rPr>
          <w:rFonts w:ascii="Bernard MT Condensed" w:hAnsi="Bernard MT Condensed" w:cs="Arial"/>
          <w:color w:val="0070C0"/>
          <w:sz w:val="32"/>
          <w:szCs w:val="32"/>
        </w:rPr>
      </w:pPr>
      <w:r w:rsidRPr="00762987">
        <w:rPr>
          <w:rFonts w:ascii="Bernard MT Condensed" w:hAnsi="Bernard MT Condensed" w:cs="Arial"/>
          <w:color w:val="0070C0"/>
          <w:sz w:val="32"/>
          <w:szCs w:val="32"/>
        </w:rPr>
        <w:t>Specific Information and Information about Targeted Programs.</w:t>
      </w:r>
    </w:p>
    <w:p w14:paraId="4AE5EA71" w14:textId="77777777" w:rsidR="00F856E8" w:rsidRPr="00762987" w:rsidRDefault="00F856E8" w:rsidP="00596197">
      <w:pPr>
        <w:pStyle w:val="ListParagraph"/>
        <w:numPr>
          <w:ilvl w:val="0"/>
          <w:numId w:val="1"/>
        </w:numPr>
        <w:spacing w:line="480" w:lineRule="auto"/>
        <w:rPr>
          <w:rFonts w:ascii="Bernard MT Condensed" w:hAnsi="Bernard MT Condensed" w:cs="Arial"/>
          <w:color w:val="0070C0"/>
          <w:sz w:val="32"/>
          <w:szCs w:val="32"/>
        </w:rPr>
      </w:pPr>
      <w:r w:rsidRPr="00762987">
        <w:rPr>
          <w:rFonts w:ascii="Bernard MT Condensed" w:hAnsi="Bernard MT Condensed" w:cs="Arial"/>
          <w:color w:val="0070C0"/>
          <w:sz w:val="32"/>
          <w:szCs w:val="32"/>
        </w:rPr>
        <w:t>Budget Terminology (Glossary).</w:t>
      </w:r>
    </w:p>
    <w:p w14:paraId="715FCE42" w14:textId="77777777" w:rsidR="001205CD" w:rsidRDefault="00F856E8" w:rsidP="001E33D3">
      <w:pPr>
        <w:pStyle w:val="ListParagraph"/>
        <w:numPr>
          <w:ilvl w:val="0"/>
          <w:numId w:val="1"/>
        </w:numPr>
        <w:spacing w:line="480" w:lineRule="auto"/>
        <w:rPr>
          <w:rFonts w:ascii="Bernard MT Condensed" w:hAnsi="Bernard MT Condensed" w:cs="Arial"/>
          <w:color w:val="0070C0"/>
          <w:sz w:val="32"/>
          <w:szCs w:val="32"/>
        </w:rPr>
      </w:pPr>
      <w:r w:rsidRPr="00762987">
        <w:rPr>
          <w:rFonts w:ascii="Bernard MT Condensed" w:hAnsi="Bernard MT Condensed" w:cs="Arial"/>
          <w:color w:val="0070C0"/>
          <w:sz w:val="32"/>
          <w:szCs w:val="32"/>
        </w:rPr>
        <w:t>Contact Information.</w:t>
      </w:r>
    </w:p>
    <w:p w14:paraId="0378B8AF" w14:textId="77777777" w:rsidR="00B15BCD" w:rsidRPr="00B15BCD" w:rsidRDefault="00B15BCD" w:rsidP="00B15BCD">
      <w:pPr>
        <w:spacing w:line="480" w:lineRule="auto"/>
        <w:rPr>
          <w:rFonts w:ascii="Bernard MT Condensed" w:hAnsi="Bernard MT Condensed" w:cs="Arial"/>
          <w:color w:val="0070C0"/>
          <w:sz w:val="32"/>
          <w:szCs w:val="32"/>
        </w:rPr>
      </w:pPr>
    </w:p>
    <w:p w14:paraId="4951CB0B" w14:textId="77777777" w:rsidR="001205CD" w:rsidRPr="001205CD" w:rsidRDefault="001205CD" w:rsidP="001205CD">
      <w:pPr>
        <w:jc w:val="center"/>
        <w:rPr>
          <w:rFonts w:ascii="Algerian" w:hAnsi="Algerian"/>
          <w:color w:val="7030A0"/>
          <w:sz w:val="48"/>
          <w:szCs w:val="48"/>
        </w:rPr>
      </w:pPr>
      <w:r w:rsidRPr="001205CD">
        <w:rPr>
          <w:rFonts w:ascii="Algerian" w:hAnsi="Algerian"/>
          <w:color w:val="7030A0"/>
          <w:sz w:val="48"/>
          <w:szCs w:val="48"/>
        </w:rPr>
        <w:lastRenderedPageBreak/>
        <w:t>ECONOMIC ASSUMPTIONS UNDERLYING THE</w:t>
      </w:r>
      <w:r w:rsidR="003A4179">
        <w:rPr>
          <w:rFonts w:ascii="Algerian" w:hAnsi="Algerian"/>
          <w:color w:val="7030A0"/>
          <w:sz w:val="48"/>
          <w:szCs w:val="48"/>
        </w:rPr>
        <w:t xml:space="preserve"> BAYELSA STATE</w:t>
      </w:r>
      <w:r w:rsidR="007F6756">
        <w:rPr>
          <w:rFonts w:ascii="Algerian" w:hAnsi="Algerian"/>
          <w:color w:val="7030A0"/>
          <w:sz w:val="48"/>
          <w:szCs w:val="48"/>
        </w:rPr>
        <w:t xml:space="preserve"> </w:t>
      </w:r>
      <w:r w:rsidR="00C14066">
        <w:rPr>
          <w:rFonts w:ascii="Algerian" w:hAnsi="Algerian"/>
          <w:color w:val="7030A0"/>
          <w:sz w:val="48"/>
          <w:szCs w:val="48"/>
        </w:rPr>
        <w:t xml:space="preserve">REVISED </w:t>
      </w:r>
      <w:r w:rsidR="007F6756">
        <w:rPr>
          <w:rFonts w:ascii="Algerian" w:hAnsi="Algerian"/>
          <w:color w:val="7030A0"/>
          <w:sz w:val="48"/>
          <w:szCs w:val="48"/>
        </w:rPr>
        <w:t xml:space="preserve">2020 COVID </w:t>
      </w:r>
      <w:r w:rsidR="001E33D3">
        <w:rPr>
          <w:rFonts w:ascii="Algerian" w:hAnsi="Algerian"/>
          <w:color w:val="7030A0"/>
          <w:sz w:val="48"/>
          <w:szCs w:val="48"/>
        </w:rPr>
        <w:t>-</w:t>
      </w:r>
      <w:r w:rsidR="007F6756">
        <w:rPr>
          <w:rFonts w:ascii="Algerian" w:hAnsi="Algerian"/>
          <w:color w:val="7030A0"/>
          <w:sz w:val="48"/>
          <w:szCs w:val="48"/>
        </w:rPr>
        <w:t>19 RESP</w:t>
      </w:r>
      <w:r w:rsidR="009A77AC">
        <w:rPr>
          <w:rFonts w:ascii="Algerian" w:hAnsi="Algerian"/>
          <w:color w:val="7030A0"/>
          <w:sz w:val="48"/>
          <w:szCs w:val="48"/>
        </w:rPr>
        <w:t>ONSIVE</w:t>
      </w:r>
      <w:r w:rsidRPr="001205CD">
        <w:rPr>
          <w:rFonts w:ascii="Algerian" w:hAnsi="Algerian"/>
          <w:color w:val="7030A0"/>
          <w:sz w:val="48"/>
          <w:szCs w:val="48"/>
        </w:rPr>
        <w:t xml:space="preserve"> BUDGET</w:t>
      </w:r>
    </w:p>
    <w:p w14:paraId="61E74B0C" w14:textId="77777777" w:rsidR="001205CD" w:rsidRDefault="00BC27A1" w:rsidP="00A003CE">
      <w:pPr>
        <w:jc w:val="both"/>
        <w:rPr>
          <w:sz w:val="28"/>
          <w:szCs w:val="28"/>
        </w:rPr>
      </w:pPr>
      <w:r>
        <w:rPr>
          <w:sz w:val="28"/>
          <w:szCs w:val="28"/>
        </w:rPr>
        <w:t xml:space="preserve">The </w:t>
      </w:r>
      <w:r w:rsidR="003A4179">
        <w:rPr>
          <w:sz w:val="28"/>
          <w:szCs w:val="28"/>
        </w:rPr>
        <w:t>Bayelsa State</w:t>
      </w:r>
      <w:r w:rsidR="00F40FC9">
        <w:rPr>
          <w:sz w:val="28"/>
          <w:szCs w:val="28"/>
        </w:rPr>
        <w:t xml:space="preserve"> Revised</w:t>
      </w:r>
      <w:r w:rsidR="003A4179">
        <w:rPr>
          <w:sz w:val="28"/>
          <w:szCs w:val="28"/>
        </w:rPr>
        <w:t xml:space="preserve"> </w:t>
      </w:r>
      <w:r w:rsidR="009A77AC">
        <w:rPr>
          <w:sz w:val="28"/>
          <w:szCs w:val="28"/>
        </w:rPr>
        <w:t>2020 Covid-19 Responsive</w:t>
      </w:r>
      <w:r w:rsidR="0028387D">
        <w:rPr>
          <w:sz w:val="28"/>
          <w:szCs w:val="28"/>
        </w:rPr>
        <w:t xml:space="preserve"> Citizen</w:t>
      </w:r>
      <w:r>
        <w:rPr>
          <w:sz w:val="28"/>
          <w:szCs w:val="28"/>
        </w:rPr>
        <w:t xml:space="preserve"> Budget,</w:t>
      </w:r>
      <w:r w:rsidR="001205CD" w:rsidRPr="00B1433F">
        <w:rPr>
          <w:sz w:val="28"/>
          <w:szCs w:val="28"/>
        </w:rPr>
        <w:t xml:space="preserve"> christ</w:t>
      </w:r>
      <w:r w:rsidR="00473B10">
        <w:rPr>
          <w:sz w:val="28"/>
          <w:szCs w:val="28"/>
        </w:rPr>
        <w:t xml:space="preserve">ened (Budget of </w:t>
      </w:r>
      <w:r w:rsidR="0021314E">
        <w:rPr>
          <w:sz w:val="28"/>
          <w:szCs w:val="28"/>
        </w:rPr>
        <w:t>Consolidation for Prosperity</w:t>
      </w:r>
      <w:r w:rsidR="00497934">
        <w:rPr>
          <w:sz w:val="28"/>
          <w:szCs w:val="28"/>
        </w:rPr>
        <w:t>)</w:t>
      </w:r>
      <w:r w:rsidR="0021314E">
        <w:rPr>
          <w:sz w:val="28"/>
          <w:szCs w:val="28"/>
        </w:rPr>
        <w:t xml:space="preserve"> is a budget </w:t>
      </w:r>
      <w:proofErr w:type="gramStart"/>
      <w:r w:rsidR="0021314E">
        <w:rPr>
          <w:sz w:val="28"/>
          <w:szCs w:val="28"/>
        </w:rPr>
        <w:t xml:space="preserve">targeted </w:t>
      </w:r>
      <w:r w:rsidR="00EB0FD8">
        <w:rPr>
          <w:sz w:val="28"/>
          <w:szCs w:val="28"/>
        </w:rPr>
        <w:t xml:space="preserve"> by</w:t>
      </w:r>
      <w:proofErr w:type="gramEnd"/>
      <w:r w:rsidR="00EB0FD8">
        <w:rPr>
          <w:sz w:val="28"/>
          <w:szCs w:val="28"/>
        </w:rPr>
        <w:t xml:space="preserve"> the </w:t>
      </w:r>
      <w:r w:rsidR="00497934">
        <w:rPr>
          <w:sz w:val="28"/>
          <w:szCs w:val="28"/>
        </w:rPr>
        <w:t>present</w:t>
      </w:r>
      <w:r w:rsidR="001205CD" w:rsidRPr="00B1433F">
        <w:rPr>
          <w:sz w:val="28"/>
          <w:szCs w:val="28"/>
        </w:rPr>
        <w:t xml:space="preserve"> </w:t>
      </w:r>
      <w:r w:rsidR="0028387D">
        <w:rPr>
          <w:sz w:val="28"/>
          <w:szCs w:val="28"/>
        </w:rPr>
        <w:t>Administration</w:t>
      </w:r>
      <w:r w:rsidR="0021314E">
        <w:rPr>
          <w:sz w:val="28"/>
          <w:szCs w:val="28"/>
        </w:rPr>
        <w:t xml:space="preserve"> to positively </w:t>
      </w:r>
      <w:r w:rsidR="001B0D21">
        <w:rPr>
          <w:sz w:val="28"/>
          <w:szCs w:val="28"/>
        </w:rPr>
        <w:t xml:space="preserve"> ameliorate the crushing effect of Covid-19 on the citizens as well as Sustaining the Sta</w:t>
      </w:r>
      <w:r w:rsidR="0028387D">
        <w:rPr>
          <w:sz w:val="28"/>
          <w:szCs w:val="28"/>
        </w:rPr>
        <w:t>te’s economy from total depres</w:t>
      </w:r>
      <w:r w:rsidR="001065B3">
        <w:rPr>
          <w:sz w:val="28"/>
          <w:szCs w:val="28"/>
        </w:rPr>
        <w:t>s</w:t>
      </w:r>
      <w:r w:rsidR="0028387D">
        <w:rPr>
          <w:sz w:val="28"/>
          <w:szCs w:val="28"/>
        </w:rPr>
        <w:t>ion</w:t>
      </w:r>
      <w:r w:rsidR="001B0D21">
        <w:rPr>
          <w:sz w:val="28"/>
          <w:szCs w:val="28"/>
        </w:rPr>
        <w:t>, thereby positioning it for quick recovery</w:t>
      </w:r>
      <w:r w:rsidR="0021314E">
        <w:rPr>
          <w:sz w:val="28"/>
          <w:szCs w:val="28"/>
        </w:rPr>
        <w:t xml:space="preserve"> and growth</w:t>
      </w:r>
      <w:r w:rsidR="001B0D21">
        <w:rPr>
          <w:sz w:val="28"/>
          <w:szCs w:val="28"/>
        </w:rPr>
        <w:t xml:space="preserve"> </w:t>
      </w:r>
      <w:r w:rsidR="009A77AC">
        <w:rPr>
          <w:sz w:val="28"/>
          <w:szCs w:val="28"/>
        </w:rPr>
        <w:t>. It is anticipated to be a</w:t>
      </w:r>
      <w:r w:rsidR="0021314E">
        <w:rPr>
          <w:sz w:val="28"/>
          <w:szCs w:val="28"/>
        </w:rPr>
        <w:t xml:space="preserve"> balance</w:t>
      </w:r>
      <w:r w:rsidR="009A77AC">
        <w:rPr>
          <w:sz w:val="28"/>
          <w:szCs w:val="28"/>
        </w:rPr>
        <w:t xml:space="preserve">d budget </w:t>
      </w:r>
      <w:r w:rsidR="001205CD" w:rsidRPr="00B1433F">
        <w:rPr>
          <w:sz w:val="28"/>
          <w:szCs w:val="28"/>
        </w:rPr>
        <w:t xml:space="preserve">with borrowings envisaged. It is anchored on the </w:t>
      </w:r>
      <w:r w:rsidR="00C14066">
        <w:rPr>
          <w:sz w:val="28"/>
          <w:szCs w:val="28"/>
        </w:rPr>
        <w:t>revised</w:t>
      </w:r>
      <w:r w:rsidR="001E33D3">
        <w:rPr>
          <w:sz w:val="28"/>
          <w:szCs w:val="28"/>
        </w:rPr>
        <w:t xml:space="preserve"> 2020 – 2022</w:t>
      </w:r>
      <w:r w:rsidR="001205CD" w:rsidRPr="00B1433F">
        <w:rPr>
          <w:sz w:val="28"/>
          <w:szCs w:val="28"/>
        </w:rPr>
        <w:t xml:space="preserve"> Medium Ter</w:t>
      </w:r>
      <w:r w:rsidR="0028387D">
        <w:rPr>
          <w:sz w:val="28"/>
          <w:szCs w:val="28"/>
        </w:rPr>
        <w:t>m Expenditure Framework of the S</w:t>
      </w:r>
      <w:r w:rsidR="001205CD" w:rsidRPr="00B1433F">
        <w:rPr>
          <w:sz w:val="28"/>
          <w:szCs w:val="28"/>
        </w:rPr>
        <w:t xml:space="preserve">tate on a </w:t>
      </w:r>
      <w:r w:rsidR="001E33D3">
        <w:rPr>
          <w:sz w:val="28"/>
          <w:szCs w:val="28"/>
        </w:rPr>
        <w:t>project</w:t>
      </w:r>
      <w:r w:rsidR="0021314E">
        <w:rPr>
          <w:sz w:val="28"/>
          <w:szCs w:val="28"/>
        </w:rPr>
        <w:t>ed Crude oil price of $20pb, 1.7</w:t>
      </w:r>
      <w:r w:rsidR="001205CD" w:rsidRPr="00B1433F">
        <w:rPr>
          <w:sz w:val="28"/>
          <w:szCs w:val="28"/>
        </w:rPr>
        <w:t xml:space="preserve"> </w:t>
      </w:r>
      <w:proofErr w:type="spellStart"/>
      <w:r w:rsidR="001205CD" w:rsidRPr="00B1433F">
        <w:rPr>
          <w:sz w:val="28"/>
          <w:szCs w:val="28"/>
        </w:rPr>
        <w:t>mb</w:t>
      </w:r>
      <w:r w:rsidR="00607C5D">
        <w:rPr>
          <w:sz w:val="28"/>
          <w:szCs w:val="28"/>
        </w:rPr>
        <w:t>p</w:t>
      </w:r>
      <w:r w:rsidR="001205CD" w:rsidRPr="00B1433F">
        <w:rPr>
          <w:sz w:val="28"/>
          <w:szCs w:val="28"/>
        </w:rPr>
        <w:t>d</w:t>
      </w:r>
      <w:proofErr w:type="spellEnd"/>
      <w:r w:rsidR="001205CD" w:rsidRPr="00B1433F">
        <w:rPr>
          <w:sz w:val="28"/>
          <w:szCs w:val="28"/>
        </w:rPr>
        <w:t xml:space="preserve"> oil production for</w:t>
      </w:r>
      <w:r w:rsidR="009A77AC">
        <w:rPr>
          <w:sz w:val="28"/>
          <w:szCs w:val="28"/>
        </w:rPr>
        <w:t xml:space="preserve"> 312 days, Exchange rate of N</w:t>
      </w:r>
      <w:r w:rsidR="0021314E">
        <w:rPr>
          <w:sz w:val="28"/>
          <w:szCs w:val="28"/>
        </w:rPr>
        <w:t>360 and an Inflation rate of 14.13</w:t>
      </w:r>
      <w:r w:rsidR="001205CD" w:rsidRPr="00B1433F">
        <w:rPr>
          <w:sz w:val="28"/>
          <w:szCs w:val="28"/>
        </w:rPr>
        <w:t>%</w:t>
      </w:r>
    </w:p>
    <w:p w14:paraId="0136F457" w14:textId="77777777" w:rsidR="001205CD" w:rsidRPr="009D4081" w:rsidRDefault="001205CD" w:rsidP="00A003CE">
      <w:pPr>
        <w:jc w:val="both"/>
        <w:rPr>
          <w:sz w:val="24"/>
          <w:szCs w:val="24"/>
        </w:rPr>
      </w:pPr>
    </w:p>
    <w:tbl>
      <w:tblPr>
        <w:tblStyle w:val="TableGrid"/>
        <w:tblW w:w="0" w:type="auto"/>
        <w:tblLook w:val="04A0" w:firstRow="1" w:lastRow="0" w:firstColumn="1" w:lastColumn="0" w:noHBand="0" w:noVBand="1"/>
      </w:tblPr>
      <w:tblGrid>
        <w:gridCol w:w="4438"/>
        <w:gridCol w:w="4447"/>
      </w:tblGrid>
      <w:tr w:rsidR="001205CD" w14:paraId="268FE20F" w14:textId="77777777" w:rsidTr="00141E9A">
        <w:tc>
          <w:tcPr>
            <w:tcW w:w="4675" w:type="dxa"/>
          </w:tcPr>
          <w:p w14:paraId="34484D14" w14:textId="77777777" w:rsidR="001205CD" w:rsidRPr="00B1433F" w:rsidRDefault="001205CD" w:rsidP="00141E9A">
            <w:pPr>
              <w:jc w:val="center"/>
              <w:rPr>
                <w:rFonts w:ascii="Bauhaus 93" w:hAnsi="Bauhaus 93"/>
                <w:b/>
                <w:sz w:val="24"/>
                <w:szCs w:val="24"/>
              </w:rPr>
            </w:pPr>
            <w:r w:rsidRPr="00B1433F">
              <w:rPr>
                <w:rFonts w:ascii="Bauhaus 93" w:hAnsi="Bauhaus 93"/>
                <w:b/>
                <w:sz w:val="24"/>
                <w:szCs w:val="24"/>
              </w:rPr>
              <w:t>DESCRIPTION</w:t>
            </w:r>
          </w:p>
        </w:tc>
        <w:tc>
          <w:tcPr>
            <w:tcW w:w="4675" w:type="dxa"/>
          </w:tcPr>
          <w:p w14:paraId="54C1B6D5" w14:textId="77777777" w:rsidR="001205CD" w:rsidRPr="00B1433F" w:rsidRDefault="001205CD" w:rsidP="00141E9A">
            <w:pPr>
              <w:jc w:val="center"/>
              <w:rPr>
                <w:rFonts w:ascii="Bauhaus 93" w:hAnsi="Bauhaus 93"/>
                <w:b/>
                <w:sz w:val="24"/>
                <w:szCs w:val="24"/>
              </w:rPr>
            </w:pPr>
            <w:r w:rsidRPr="00B1433F">
              <w:rPr>
                <w:rFonts w:ascii="Bauhaus 93" w:hAnsi="Bauhaus 93"/>
                <w:b/>
                <w:sz w:val="24"/>
                <w:szCs w:val="24"/>
              </w:rPr>
              <w:t>RATE/QUANTITY</w:t>
            </w:r>
          </w:p>
        </w:tc>
      </w:tr>
      <w:tr w:rsidR="001205CD" w14:paraId="3D665BAE" w14:textId="77777777" w:rsidTr="00141E9A">
        <w:tc>
          <w:tcPr>
            <w:tcW w:w="4675" w:type="dxa"/>
          </w:tcPr>
          <w:p w14:paraId="78E01EFB" w14:textId="77777777" w:rsidR="001205CD" w:rsidRPr="0028387D" w:rsidRDefault="001205CD" w:rsidP="00141E9A">
            <w:pPr>
              <w:rPr>
                <w:color w:val="000000" w:themeColor="text1"/>
                <w:sz w:val="28"/>
                <w:szCs w:val="28"/>
              </w:rPr>
            </w:pPr>
            <w:r w:rsidRPr="0028387D">
              <w:rPr>
                <w:color w:val="000000" w:themeColor="text1"/>
                <w:sz w:val="28"/>
                <w:szCs w:val="28"/>
              </w:rPr>
              <w:t>CRUDE OIL PRICE</w:t>
            </w:r>
          </w:p>
        </w:tc>
        <w:tc>
          <w:tcPr>
            <w:tcW w:w="4675" w:type="dxa"/>
          </w:tcPr>
          <w:p w14:paraId="4911729A" w14:textId="77777777" w:rsidR="001205CD" w:rsidRPr="0028387D" w:rsidRDefault="0028387D" w:rsidP="00141E9A">
            <w:pPr>
              <w:rPr>
                <w:color w:val="000000" w:themeColor="text1"/>
                <w:sz w:val="28"/>
                <w:szCs w:val="28"/>
              </w:rPr>
            </w:pPr>
            <w:r>
              <w:rPr>
                <w:color w:val="000000" w:themeColor="text1"/>
                <w:sz w:val="28"/>
                <w:szCs w:val="28"/>
              </w:rPr>
              <w:t>$</w:t>
            </w:r>
            <w:r w:rsidR="00EB0FD8" w:rsidRPr="0028387D">
              <w:rPr>
                <w:color w:val="000000" w:themeColor="text1"/>
                <w:sz w:val="28"/>
                <w:szCs w:val="28"/>
              </w:rPr>
              <w:t>20</w:t>
            </w:r>
            <w:r w:rsidR="001205CD" w:rsidRPr="0028387D">
              <w:rPr>
                <w:color w:val="000000" w:themeColor="text1"/>
                <w:sz w:val="28"/>
                <w:szCs w:val="28"/>
              </w:rPr>
              <w:t xml:space="preserve"> PB</w:t>
            </w:r>
          </w:p>
        </w:tc>
      </w:tr>
      <w:tr w:rsidR="001205CD" w14:paraId="6FED4511" w14:textId="77777777" w:rsidTr="00141E9A">
        <w:tc>
          <w:tcPr>
            <w:tcW w:w="4675" w:type="dxa"/>
          </w:tcPr>
          <w:p w14:paraId="1AD804F8" w14:textId="77777777" w:rsidR="001205CD" w:rsidRPr="0028387D" w:rsidRDefault="001205CD" w:rsidP="00141E9A">
            <w:pPr>
              <w:rPr>
                <w:color w:val="000000" w:themeColor="text1"/>
                <w:sz w:val="28"/>
                <w:szCs w:val="28"/>
              </w:rPr>
            </w:pPr>
            <w:r w:rsidRPr="0028387D">
              <w:rPr>
                <w:color w:val="000000" w:themeColor="text1"/>
                <w:sz w:val="28"/>
                <w:szCs w:val="28"/>
              </w:rPr>
              <w:t>PRODUCTION PER DAY (312 DAYS)</w:t>
            </w:r>
          </w:p>
        </w:tc>
        <w:tc>
          <w:tcPr>
            <w:tcW w:w="4675" w:type="dxa"/>
          </w:tcPr>
          <w:p w14:paraId="6C436101" w14:textId="77777777" w:rsidR="001205CD" w:rsidRPr="0028387D" w:rsidRDefault="0021314E" w:rsidP="00141E9A">
            <w:pPr>
              <w:rPr>
                <w:color w:val="000000" w:themeColor="text1"/>
                <w:sz w:val="28"/>
                <w:szCs w:val="28"/>
              </w:rPr>
            </w:pPr>
            <w:r w:rsidRPr="0028387D">
              <w:rPr>
                <w:color w:val="000000" w:themeColor="text1"/>
                <w:sz w:val="28"/>
                <w:szCs w:val="28"/>
              </w:rPr>
              <w:t>1.7</w:t>
            </w:r>
            <w:r w:rsidR="001205CD" w:rsidRPr="0028387D">
              <w:rPr>
                <w:color w:val="000000" w:themeColor="text1"/>
                <w:sz w:val="28"/>
                <w:szCs w:val="28"/>
              </w:rPr>
              <w:t xml:space="preserve"> MBD</w:t>
            </w:r>
          </w:p>
        </w:tc>
      </w:tr>
      <w:tr w:rsidR="001205CD" w14:paraId="19CBD2DB" w14:textId="77777777" w:rsidTr="00141E9A">
        <w:tc>
          <w:tcPr>
            <w:tcW w:w="4675" w:type="dxa"/>
          </w:tcPr>
          <w:p w14:paraId="7C7F97FB" w14:textId="77777777" w:rsidR="001205CD" w:rsidRPr="0028387D" w:rsidRDefault="001205CD" w:rsidP="00141E9A">
            <w:pPr>
              <w:rPr>
                <w:color w:val="000000" w:themeColor="text1"/>
                <w:sz w:val="28"/>
                <w:szCs w:val="28"/>
              </w:rPr>
            </w:pPr>
            <w:r w:rsidRPr="0028387D">
              <w:rPr>
                <w:color w:val="000000" w:themeColor="text1"/>
                <w:sz w:val="28"/>
                <w:szCs w:val="28"/>
              </w:rPr>
              <w:t>EXCHANGE RATE</w:t>
            </w:r>
          </w:p>
        </w:tc>
        <w:tc>
          <w:tcPr>
            <w:tcW w:w="4675" w:type="dxa"/>
          </w:tcPr>
          <w:p w14:paraId="45F66D4C" w14:textId="77777777" w:rsidR="001205CD" w:rsidRPr="0028387D" w:rsidRDefault="00904571" w:rsidP="00141E9A">
            <w:pPr>
              <w:rPr>
                <w:color w:val="000000" w:themeColor="text1"/>
                <w:sz w:val="28"/>
                <w:szCs w:val="28"/>
              </w:rPr>
            </w:pPr>
            <w:r w:rsidRPr="0028387D">
              <w:rPr>
                <w:dstrike/>
                <w:color w:val="000000" w:themeColor="text1"/>
                <w:sz w:val="28"/>
                <w:szCs w:val="28"/>
              </w:rPr>
              <w:t>N</w:t>
            </w:r>
            <w:proofErr w:type="gramStart"/>
            <w:r w:rsidR="0021314E" w:rsidRPr="0028387D">
              <w:rPr>
                <w:color w:val="000000" w:themeColor="text1"/>
                <w:sz w:val="28"/>
                <w:szCs w:val="28"/>
              </w:rPr>
              <w:t>360</w:t>
            </w:r>
            <w:r w:rsidRPr="0028387D">
              <w:rPr>
                <w:color w:val="000000" w:themeColor="text1"/>
                <w:sz w:val="28"/>
                <w:szCs w:val="28"/>
              </w:rPr>
              <w:t xml:space="preserve"> :</w:t>
            </w:r>
            <w:proofErr w:type="gramEnd"/>
            <w:r w:rsidR="001205CD" w:rsidRPr="0028387D">
              <w:rPr>
                <w:color w:val="000000" w:themeColor="text1"/>
                <w:sz w:val="28"/>
                <w:szCs w:val="28"/>
              </w:rPr>
              <w:t xml:space="preserve"> $</w:t>
            </w:r>
            <w:r w:rsidR="0028387D" w:rsidRPr="0028387D">
              <w:rPr>
                <w:color w:val="000000" w:themeColor="text1"/>
                <w:sz w:val="28"/>
                <w:szCs w:val="28"/>
              </w:rPr>
              <w:t>1</w:t>
            </w:r>
          </w:p>
        </w:tc>
      </w:tr>
      <w:tr w:rsidR="001205CD" w14:paraId="1D2C3A1E" w14:textId="77777777" w:rsidTr="00141E9A">
        <w:tc>
          <w:tcPr>
            <w:tcW w:w="4675" w:type="dxa"/>
          </w:tcPr>
          <w:p w14:paraId="3B64D1A8" w14:textId="77777777" w:rsidR="001205CD" w:rsidRPr="0028387D" w:rsidRDefault="001205CD" w:rsidP="00141E9A">
            <w:pPr>
              <w:rPr>
                <w:color w:val="000000" w:themeColor="text1"/>
                <w:sz w:val="28"/>
                <w:szCs w:val="28"/>
              </w:rPr>
            </w:pPr>
            <w:r w:rsidRPr="0028387D">
              <w:rPr>
                <w:color w:val="000000" w:themeColor="text1"/>
                <w:sz w:val="28"/>
                <w:szCs w:val="28"/>
              </w:rPr>
              <w:t>INFLATION</w:t>
            </w:r>
          </w:p>
        </w:tc>
        <w:tc>
          <w:tcPr>
            <w:tcW w:w="4675" w:type="dxa"/>
          </w:tcPr>
          <w:p w14:paraId="25CBF96B" w14:textId="77777777" w:rsidR="001205CD" w:rsidRPr="0028387D" w:rsidRDefault="0021314E" w:rsidP="00141E9A">
            <w:pPr>
              <w:rPr>
                <w:color w:val="000000" w:themeColor="text1"/>
                <w:sz w:val="28"/>
                <w:szCs w:val="28"/>
              </w:rPr>
            </w:pPr>
            <w:r w:rsidRPr="0028387D">
              <w:rPr>
                <w:color w:val="000000" w:themeColor="text1"/>
                <w:sz w:val="28"/>
                <w:szCs w:val="28"/>
              </w:rPr>
              <w:t>14.13</w:t>
            </w:r>
            <w:r w:rsidR="001205CD" w:rsidRPr="0028387D">
              <w:rPr>
                <w:color w:val="000000" w:themeColor="text1"/>
                <w:sz w:val="28"/>
                <w:szCs w:val="28"/>
              </w:rPr>
              <w:t>%</w:t>
            </w:r>
          </w:p>
        </w:tc>
      </w:tr>
      <w:tr w:rsidR="0028387D" w14:paraId="48D36210" w14:textId="77777777" w:rsidTr="0028387D">
        <w:tc>
          <w:tcPr>
            <w:tcW w:w="4442" w:type="dxa"/>
          </w:tcPr>
          <w:p w14:paraId="44BE45DF" w14:textId="77777777" w:rsidR="0028387D" w:rsidRPr="0028387D" w:rsidRDefault="0028387D" w:rsidP="000A528F">
            <w:pPr>
              <w:rPr>
                <w:rFonts w:ascii="Arial" w:hAnsi="Arial" w:cs="Arial"/>
                <w:color w:val="000000" w:themeColor="text1"/>
                <w:sz w:val="28"/>
                <w:szCs w:val="28"/>
              </w:rPr>
            </w:pPr>
            <w:r w:rsidRPr="0028387D">
              <w:rPr>
                <w:rFonts w:ascii="Arial" w:hAnsi="Arial" w:cs="Arial"/>
                <w:color w:val="000000" w:themeColor="text1"/>
                <w:sz w:val="28"/>
                <w:szCs w:val="28"/>
              </w:rPr>
              <w:t>Real GDP Growth</w:t>
            </w:r>
            <w:r w:rsidR="005F6D1A">
              <w:rPr>
                <w:rFonts w:ascii="Arial" w:hAnsi="Arial" w:cs="Arial"/>
                <w:color w:val="000000" w:themeColor="text1"/>
                <w:sz w:val="28"/>
                <w:szCs w:val="28"/>
              </w:rPr>
              <w:t xml:space="preserve"> </w:t>
            </w:r>
          </w:p>
        </w:tc>
        <w:tc>
          <w:tcPr>
            <w:tcW w:w="4443" w:type="dxa"/>
          </w:tcPr>
          <w:p w14:paraId="528B65F6" w14:textId="77777777" w:rsidR="0028387D" w:rsidRPr="0028387D" w:rsidRDefault="0028387D" w:rsidP="000A528F">
            <w:pPr>
              <w:rPr>
                <w:rFonts w:ascii="Arial" w:hAnsi="Arial" w:cs="Arial"/>
                <w:color w:val="000000" w:themeColor="text1"/>
                <w:sz w:val="28"/>
                <w:szCs w:val="28"/>
              </w:rPr>
            </w:pPr>
            <w:r w:rsidRPr="0028387D">
              <w:rPr>
                <w:rFonts w:ascii="Arial" w:hAnsi="Arial" w:cs="Arial"/>
                <w:color w:val="000000" w:themeColor="text1"/>
                <w:sz w:val="28"/>
                <w:szCs w:val="28"/>
              </w:rPr>
              <w:t>-4.42%</w:t>
            </w:r>
          </w:p>
        </w:tc>
      </w:tr>
      <w:tr w:rsidR="0028387D" w14:paraId="3CF4FC15" w14:textId="77777777" w:rsidTr="0028387D">
        <w:tc>
          <w:tcPr>
            <w:tcW w:w="4442" w:type="dxa"/>
          </w:tcPr>
          <w:p w14:paraId="7065D587" w14:textId="77777777" w:rsidR="0028387D" w:rsidRPr="0028387D" w:rsidRDefault="0028387D" w:rsidP="000A528F">
            <w:pPr>
              <w:rPr>
                <w:rFonts w:ascii="Arial" w:hAnsi="Arial" w:cs="Arial"/>
                <w:color w:val="000000" w:themeColor="text1"/>
                <w:sz w:val="28"/>
                <w:szCs w:val="28"/>
              </w:rPr>
            </w:pPr>
            <w:r w:rsidRPr="0028387D">
              <w:rPr>
                <w:rFonts w:ascii="Arial" w:hAnsi="Arial" w:cs="Arial"/>
                <w:color w:val="000000" w:themeColor="text1"/>
                <w:sz w:val="28"/>
                <w:szCs w:val="28"/>
              </w:rPr>
              <w:t>Mineral ratio</w:t>
            </w:r>
          </w:p>
        </w:tc>
        <w:tc>
          <w:tcPr>
            <w:tcW w:w="4443" w:type="dxa"/>
          </w:tcPr>
          <w:p w14:paraId="0DBD9475" w14:textId="77777777" w:rsidR="0028387D" w:rsidRPr="0028387D" w:rsidRDefault="0028387D" w:rsidP="000A528F">
            <w:pPr>
              <w:rPr>
                <w:rFonts w:ascii="Arial" w:hAnsi="Arial" w:cs="Arial"/>
                <w:color w:val="000000" w:themeColor="text1"/>
                <w:sz w:val="28"/>
                <w:szCs w:val="28"/>
              </w:rPr>
            </w:pPr>
            <w:r w:rsidRPr="0028387D">
              <w:rPr>
                <w:rFonts w:ascii="Arial" w:hAnsi="Arial" w:cs="Arial"/>
                <w:color w:val="000000" w:themeColor="text1"/>
                <w:sz w:val="28"/>
                <w:szCs w:val="28"/>
              </w:rPr>
              <w:t>24.5%</w:t>
            </w:r>
          </w:p>
        </w:tc>
      </w:tr>
    </w:tbl>
    <w:p w14:paraId="1D779895" w14:textId="77777777" w:rsidR="00DE3082" w:rsidRDefault="00DE3082" w:rsidP="000A528F">
      <w:pPr>
        <w:ind w:left="360"/>
        <w:rPr>
          <w:rFonts w:ascii="Arial" w:hAnsi="Arial" w:cs="Arial"/>
          <w:sz w:val="28"/>
          <w:szCs w:val="28"/>
        </w:rPr>
      </w:pPr>
    </w:p>
    <w:p w14:paraId="102555A3" w14:textId="77777777" w:rsidR="00DE3082" w:rsidRDefault="00DE3082" w:rsidP="000A528F">
      <w:pPr>
        <w:ind w:left="360"/>
        <w:rPr>
          <w:rFonts w:ascii="Arial" w:hAnsi="Arial" w:cs="Arial"/>
          <w:sz w:val="28"/>
          <w:szCs w:val="28"/>
        </w:rPr>
      </w:pPr>
    </w:p>
    <w:p w14:paraId="035308F6" w14:textId="77777777" w:rsidR="00DE3082" w:rsidRDefault="00DE3082" w:rsidP="000A528F">
      <w:pPr>
        <w:ind w:left="360"/>
        <w:rPr>
          <w:rFonts w:ascii="Arial" w:hAnsi="Arial" w:cs="Arial"/>
          <w:sz w:val="28"/>
          <w:szCs w:val="28"/>
        </w:rPr>
      </w:pPr>
    </w:p>
    <w:p w14:paraId="238B886E" w14:textId="77777777" w:rsidR="00DE3082" w:rsidRDefault="00DE3082" w:rsidP="000A528F">
      <w:pPr>
        <w:ind w:left="360"/>
        <w:rPr>
          <w:rFonts w:ascii="Arial" w:hAnsi="Arial" w:cs="Arial"/>
          <w:sz w:val="28"/>
          <w:szCs w:val="28"/>
        </w:rPr>
      </w:pPr>
    </w:p>
    <w:p w14:paraId="3AFDAD3E" w14:textId="77777777" w:rsidR="00DE3082" w:rsidRDefault="00DE3082" w:rsidP="000A528F">
      <w:pPr>
        <w:ind w:left="360"/>
        <w:rPr>
          <w:rFonts w:ascii="Arial" w:hAnsi="Arial" w:cs="Arial"/>
          <w:sz w:val="28"/>
          <w:szCs w:val="28"/>
        </w:rPr>
      </w:pPr>
    </w:p>
    <w:p w14:paraId="30EC06BB" w14:textId="77777777" w:rsidR="00DE3082" w:rsidRDefault="00DE3082" w:rsidP="000A528F">
      <w:pPr>
        <w:ind w:left="360"/>
        <w:rPr>
          <w:rFonts w:ascii="Arial" w:hAnsi="Arial" w:cs="Arial"/>
          <w:sz w:val="28"/>
          <w:szCs w:val="28"/>
        </w:rPr>
      </w:pPr>
    </w:p>
    <w:p w14:paraId="69CAFA4A" w14:textId="77777777" w:rsidR="00DE3082" w:rsidRDefault="00DE3082" w:rsidP="000A528F">
      <w:pPr>
        <w:ind w:left="360"/>
        <w:rPr>
          <w:rFonts w:ascii="Arial" w:hAnsi="Arial" w:cs="Arial"/>
          <w:sz w:val="28"/>
          <w:szCs w:val="28"/>
        </w:rPr>
      </w:pPr>
    </w:p>
    <w:p w14:paraId="2AF0D83A" w14:textId="77777777" w:rsidR="00DE3082" w:rsidRDefault="00DE3082" w:rsidP="000A528F">
      <w:pPr>
        <w:ind w:left="360"/>
        <w:rPr>
          <w:rFonts w:ascii="Arial" w:hAnsi="Arial" w:cs="Arial"/>
          <w:sz w:val="28"/>
          <w:szCs w:val="28"/>
        </w:rPr>
      </w:pPr>
    </w:p>
    <w:p w14:paraId="74A3FFC2" w14:textId="77777777" w:rsidR="00DE3082" w:rsidRDefault="00DE3082" w:rsidP="00977340">
      <w:pPr>
        <w:rPr>
          <w:rFonts w:ascii="Arial" w:hAnsi="Arial" w:cs="Arial"/>
          <w:sz w:val="28"/>
          <w:szCs w:val="28"/>
        </w:rPr>
      </w:pPr>
    </w:p>
    <w:p w14:paraId="5297BBBF" w14:textId="77777777" w:rsidR="008D5EE5" w:rsidRDefault="008D5EE5" w:rsidP="00977340">
      <w:pPr>
        <w:rPr>
          <w:rFonts w:ascii="Arial" w:hAnsi="Arial" w:cs="Arial"/>
          <w:sz w:val="28"/>
          <w:szCs w:val="28"/>
        </w:rPr>
      </w:pPr>
    </w:p>
    <w:p w14:paraId="220A7B69" w14:textId="77777777" w:rsidR="008D5EE5" w:rsidRDefault="008D5EE5" w:rsidP="00977340">
      <w:pPr>
        <w:rPr>
          <w:rFonts w:ascii="Arial" w:hAnsi="Arial" w:cs="Arial"/>
          <w:sz w:val="28"/>
          <w:szCs w:val="28"/>
        </w:rPr>
      </w:pPr>
    </w:p>
    <w:p w14:paraId="072D29A3" w14:textId="77777777" w:rsidR="008D5EE5" w:rsidRDefault="008D5EE5" w:rsidP="00977340">
      <w:pPr>
        <w:rPr>
          <w:rFonts w:ascii="Arial" w:hAnsi="Arial" w:cs="Arial"/>
          <w:sz w:val="28"/>
          <w:szCs w:val="28"/>
        </w:rPr>
      </w:pPr>
    </w:p>
    <w:p w14:paraId="6AA3186C" w14:textId="77777777" w:rsidR="008D5EE5" w:rsidRDefault="008D5EE5" w:rsidP="00977340">
      <w:pPr>
        <w:rPr>
          <w:rFonts w:ascii="Arial" w:hAnsi="Arial" w:cs="Arial"/>
          <w:sz w:val="28"/>
          <w:szCs w:val="28"/>
        </w:rPr>
      </w:pPr>
    </w:p>
    <w:p w14:paraId="0DECC8A5" w14:textId="77777777" w:rsidR="00977340" w:rsidRPr="009D2EFA" w:rsidRDefault="001B0D21" w:rsidP="009D2EFA">
      <w:pPr>
        <w:jc w:val="center"/>
        <w:rPr>
          <w:rFonts w:ascii="Algerian" w:hAnsi="Algerian" w:cs="Arial"/>
          <w:i/>
          <w:color w:val="C00000"/>
          <w:sz w:val="28"/>
          <w:szCs w:val="28"/>
        </w:rPr>
      </w:pPr>
      <w:r>
        <w:rPr>
          <w:rFonts w:ascii="Bernard MT Condensed" w:hAnsi="Bernard MT Condensed" w:cs="Arial"/>
          <w:color w:val="0070C0"/>
          <w:sz w:val="32"/>
          <w:szCs w:val="32"/>
        </w:rPr>
        <w:t>The 2020 COVID</w:t>
      </w:r>
      <w:r w:rsidR="00977340" w:rsidRPr="00762987">
        <w:rPr>
          <w:rFonts w:ascii="Bernard MT Condensed" w:hAnsi="Bernard MT Condensed" w:cs="Arial"/>
          <w:color w:val="0070C0"/>
          <w:sz w:val="32"/>
          <w:szCs w:val="32"/>
        </w:rPr>
        <w:t xml:space="preserve"> </w:t>
      </w:r>
      <w:r>
        <w:rPr>
          <w:rFonts w:ascii="Bernard MT Condensed" w:hAnsi="Bernard MT Condensed" w:cs="Arial"/>
          <w:color w:val="0070C0"/>
          <w:sz w:val="32"/>
          <w:szCs w:val="32"/>
        </w:rPr>
        <w:t xml:space="preserve">-19 </w:t>
      </w:r>
      <w:r w:rsidR="009A77AC">
        <w:rPr>
          <w:rFonts w:ascii="Bernard MT Condensed" w:hAnsi="Bernard MT Condensed" w:cs="Arial"/>
          <w:color w:val="0070C0"/>
          <w:sz w:val="32"/>
          <w:szCs w:val="32"/>
        </w:rPr>
        <w:t>Responsive</w:t>
      </w:r>
      <w:r w:rsidR="0021314E">
        <w:rPr>
          <w:rFonts w:ascii="Bernard MT Condensed" w:hAnsi="Bernard MT Condensed" w:cs="Arial"/>
          <w:color w:val="0070C0"/>
          <w:sz w:val="32"/>
          <w:szCs w:val="32"/>
        </w:rPr>
        <w:t xml:space="preserve"> </w:t>
      </w:r>
      <w:r w:rsidR="009A77AC">
        <w:rPr>
          <w:rFonts w:ascii="Bernard MT Condensed" w:hAnsi="Bernard MT Condensed" w:cs="Arial"/>
          <w:color w:val="0070C0"/>
          <w:sz w:val="32"/>
          <w:szCs w:val="32"/>
        </w:rPr>
        <w:t>Revised</w:t>
      </w:r>
      <w:r w:rsidR="006E3CCF">
        <w:rPr>
          <w:rFonts w:ascii="Bernard MT Condensed" w:hAnsi="Bernard MT Condensed" w:cs="Arial"/>
          <w:color w:val="0070C0"/>
          <w:sz w:val="32"/>
          <w:szCs w:val="32"/>
        </w:rPr>
        <w:t xml:space="preserve"> </w:t>
      </w:r>
      <w:r w:rsidR="007617C3">
        <w:rPr>
          <w:rFonts w:ascii="Bernard MT Condensed" w:hAnsi="Bernard MT Condensed" w:cs="Arial"/>
          <w:color w:val="0070C0"/>
          <w:sz w:val="32"/>
          <w:szCs w:val="32"/>
        </w:rPr>
        <w:t xml:space="preserve">Fiscal Framework (Revenue </w:t>
      </w:r>
      <w:r w:rsidR="00977340" w:rsidRPr="00762987">
        <w:rPr>
          <w:rFonts w:ascii="Bernard MT Condensed" w:hAnsi="Bernard MT Condensed" w:cs="Arial"/>
          <w:color w:val="0070C0"/>
          <w:sz w:val="32"/>
          <w:szCs w:val="32"/>
        </w:rPr>
        <w:t>and Expenditure</w:t>
      </w:r>
      <w:r w:rsidR="007617C3">
        <w:rPr>
          <w:rFonts w:ascii="Bernard MT Condensed" w:hAnsi="Bernard MT Condensed" w:cs="Arial"/>
          <w:color w:val="0070C0"/>
          <w:sz w:val="32"/>
          <w:szCs w:val="32"/>
        </w:rPr>
        <w:t xml:space="preserve"> Budget Size</w:t>
      </w:r>
      <w:r w:rsidR="003A4179">
        <w:rPr>
          <w:rFonts w:ascii="Bernard MT Condensed" w:hAnsi="Bernard MT Condensed" w:cs="Arial"/>
          <w:color w:val="0070C0"/>
          <w:sz w:val="32"/>
          <w:szCs w:val="32"/>
        </w:rPr>
        <w:t xml:space="preserve"> – HOW THE MONEY WIIL COME IN AND HOW IT WILL BE SPENT</w:t>
      </w:r>
      <w:r w:rsidR="007617C3">
        <w:rPr>
          <w:rFonts w:ascii="Bernard MT Condensed" w:hAnsi="Bernard MT Condensed" w:cs="Arial"/>
          <w:color w:val="0070C0"/>
          <w:sz w:val="32"/>
          <w:szCs w:val="32"/>
        </w:rPr>
        <w:t>)</w:t>
      </w:r>
    </w:p>
    <w:p w14:paraId="4FDA1A83" w14:textId="77777777" w:rsidR="00977340" w:rsidRPr="006E4F07" w:rsidRDefault="001B5A54" w:rsidP="001B5A54">
      <w:pPr>
        <w:ind w:left="360"/>
        <w:jc w:val="center"/>
        <w:rPr>
          <w:rFonts w:ascii="Algerian" w:hAnsi="Algerian" w:cs="Arial"/>
          <w:b/>
          <w:i/>
          <w:color w:val="000000" w:themeColor="text1"/>
          <w:sz w:val="36"/>
          <w:szCs w:val="36"/>
        </w:rPr>
      </w:pPr>
      <w:r w:rsidRPr="006E4F07">
        <w:rPr>
          <w:rFonts w:ascii="Arial" w:hAnsi="Arial" w:cs="Arial"/>
          <w:b/>
          <w:color w:val="000000" w:themeColor="text1"/>
          <w:sz w:val="36"/>
          <w:szCs w:val="36"/>
        </w:rPr>
        <w:t>REVENUE BUDGET SIZE (IN) –</w:t>
      </w:r>
      <w:r w:rsidR="00427858" w:rsidRPr="006E4F07">
        <w:rPr>
          <w:rFonts w:ascii="Arial" w:hAnsi="Arial" w:cs="Arial"/>
          <w:b/>
          <w:color w:val="000000" w:themeColor="text1"/>
          <w:sz w:val="36"/>
          <w:szCs w:val="36"/>
        </w:rPr>
        <w:t xml:space="preserve"> HOW THE MONEY WILL COME IN</w:t>
      </w:r>
    </w:p>
    <w:p w14:paraId="7D37F2BF" w14:textId="77777777" w:rsidR="001B5A54" w:rsidRDefault="00047B60" w:rsidP="00A003CE">
      <w:pPr>
        <w:pStyle w:val="NoSpacing"/>
        <w:jc w:val="both"/>
        <w:rPr>
          <w:sz w:val="36"/>
          <w:szCs w:val="36"/>
        </w:rPr>
      </w:pPr>
      <w:r>
        <w:rPr>
          <w:rFonts w:ascii="Algerian" w:hAnsi="Algerian" w:cs="Arial"/>
          <w:i/>
          <w:color w:val="C00000"/>
          <w:sz w:val="28"/>
          <w:szCs w:val="28"/>
        </w:rPr>
        <w:t xml:space="preserve"> </w:t>
      </w:r>
      <w:r w:rsidR="001B5A54" w:rsidRPr="00047B60">
        <w:rPr>
          <w:dstrike/>
          <w:sz w:val="36"/>
          <w:szCs w:val="36"/>
        </w:rPr>
        <w:t>N</w:t>
      </w:r>
      <w:r w:rsidR="00D7213F">
        <w:rPr>
          <w:sz w:val="36"/>
          <w:szCs w:val="36"/>
        </w:rPr>
        <w:t>183.156</w:t>
      </w:r>
      <w:r w:rsidR="001B5A54">
        <w:rPr>
          <w:sz w:val="36"/>
          <w:szCs w:val="36"/>
        </w:rPr>
        <w:t>b is the t</w:t>
      </w:r>
      <w:r w:rsidR="007617C3">
        <w:rPr>
          <w:sz w:val="36"/>
          <w:szCs w:val="36"/>
        </w:rPr>
        <w:t>otal money</w:t>
      </w:r>
      <w:r w:rsidR="00D7213F">
        <w:rPr>
          <w:sz w:val="36"/>
          <w:szCs w:val="36"/>
        </w:rPr>
        <w:t xml:space="preserve"> that is expected to be</w:t>
      </w:r>
      <w:r w:rsidR="001B5A54">
        <w:rPr>
          <w:sz w:val="36"/>
          <w:szCs w:val="36"/>
        </w:rPr>
        <w:t xml:space="preserve"> g</w:t>
      </w:r>
      <w:r w:rsidR="001B5A54" w:rsidRPr="003E01DB">
        <w:rPr>
          <w:sz w:val="36"/>
          <w:szCs w:val="36"/>
        </w:rPr>
        <w:t>enerated</w:t>
      </w:r>
      <w:r w:rsidR="006E3CCF">
        <w:rPr>
          <w:sz w:val="36"/>
          <w:szCs w:val="36"/>
        </w:rPr>
        <w:t xml:space="preserve"> for the </w:t>
      </w:r>
      <w:r w:rsidR="00DF1A35">
        <w:rPr>
          <w:sz w:val="36"/>
          <w:szCs w:val="36"/>
        </w:rPr>
        <w:t xml:space="preserve">revised </w:t>
      </w:r>
      <w:r w:rsidR="006E3CCF">
        <w:rPr>
          <w:sz w:val="36"/>
          <w:szCs w:val="36"/>
        </w:rPr>
        <w:t>2020 Covid-19 Response</w:t>
      </w:r>
      <w:r w:rsidR="00D7213F">
        <w:rPr>
          <w:sz w:val="36"/>
          <w:szCs w:val="36"/>
        </w:rPr>
        <w:t xml:space="preserve"> B</w:t>
      </w:r>
      <w:r>
        <w:rPr>
          <w:sz w:val="36"/>
          <w:szCs w:val="36"/>
        </w:rPr>
        <w:t>udget period.</w:t>
      </w:r>
      <w:r w:rsidR="00C03397">
        <w:rPr>
          <w:sz w:val="36"/>
          <w:szCs w:val="36"/>
        </w:rPr>
        <w:t xml:space="preserve"> Thi</w:t>
      </w:r>
      <w:r w:rsidR="004C57B6">
        <w:rPr>
          <w:sz w:val="36"/>
          <w:szCs w:val="36"/>
        </w:rPr>
        <w:t xml:space="preserve">s is </w:t>
      </w:r>
      <w:r w:rsidR="00EF447D">
        <w:rPr>
          <w:sz w:val="36"/>
          <w:szCs w:val="36"/>
        </w:rPr>
        <w:t>13.9</w:t>
      </w:r>
      <w:r w:rsidR="00D7213F">
        <w:rPr>
          <w:sz w:val="36"/>
          <w:szCs w:val="36"/>
        </w:rPr>
        <w:t>% lower than the 2019 B</w:t>
      </w:r>
      <w:r w:rsidR="00C03397">
        <w:rPr>
          <w:sz w:val="36"/>
          <w:szCs w:val="36"/>
        </w:rPr>
        <w:t xml:space="preserve">udget period of </w:t>
      </w:r>
      <w:r w:rsidR="004C57B6" w:rsidRPr="00047B60">
        <w:rPr>
          <w:dstrike/>
          <w:sz w:val="36"/>
          <w:szCs w:val="36"/>
        </w:rPr>
        <w:t>N</w:t>
      </w:r>
      <w:r w:rsidR="00D7213F">
        <w:rPr>
          <w:sz w:val="36"/>
          <w:szCs w:val="36"/>
        </w:rPr>
        <w:t>242.187</w:t>
      </w:r>
      <w:r w:rsidR="000454CC">
        <w:rPr>
          <w:sz w:val="36"/>
          <w:szCs w:val="36"/>
        </w:rPr>
        <w:t>b.</w:t>
      </w:r>
      <w:r>
        <w:rPr>
          <w:sz w:val="36"/>
          <w:szCs w:val="36"/>
        </w:rPr>
        <w:t xml:space="preserve"> Below are the differe</w:t>
      </w:r>
      <w:r w:rsidR="00827639">
        <w:rPr>
          <w:sz w:val="36"/>
          <w:szCs w:val="36"/>
        </w:rPr>
        <w:t>nt ways the money can be raised to fund the Budget;</w:t>
      </w:r>
    </w:p>
    <w:p w14:paraId="66687D73" w14:textId="77777777" w:rsidR="007C5DD6" w:rsidRDefault="007C5DD6" w:rsidP="00A003CE">
      <w:pPr>
        <w:pStyle w:val="NoSpacing"/>
        <w:jc w:val="both"/>
        <w:rPr>
          <w:sz w:val="36"/>
          <w:szCs w:val="36"/>
        </w:rPr>
      </w:pPr>
    </w:p>
    <w:tbl>
      <w:tblPr>
        <w:tblW w:w="10440" w:type="dxa"/>
        <w:tblLook w:val="04A0" w:firstRow="1" w:lastRow="0" w:firstColumn="1" w:lastColumn="0" w:noHBand="0" w:noVBand="1"/>
      </w:tblPr>
      <w:tblGrid>
        <w:gridCol w:w="4120"/>
        <w:gridCol w:w="3700"/>
        <w:gridCol w:w="2620"/>
      </w:tblGrid>
      <w:tr w:rsidR="00593261" w:rsidRPr="00593261" w14:paraId="42EC6A67" w14:textId="77777777" w:rsidTr="00593261">
        <w:trPr>
          <w:trHeight w:val="600"/>
        </w:trPr>
        <w:tc>
          <w:tcPr>
            <w:tcW w:w="4120" w:type="dxa"/>
            <w:tcBorders>
              <w:top w:val="single" w:sz="4" w:space="0" w:color="auto"/>
              <w:left w:val="single" w:sz="4" w:space="0" w:color="auto"/>
              <w:bottom w:val="single" w:sz="4" w:space="0" w:color="auto"/>
              <w:right w:val="single" w:sz="4" w:space="0" w:color="auto"/>
            </w:tcBorders>
            <w:shd w:val="pct75" w:color="A7D08B" w:fill="AAD093"/>
            <w:hideMark/>
          </w:tcPr>
          <w:p w14:paraId="51A18C8D" w14:textId="77777777" w:rsidR="00593261" w:rsidRPr="00593261" w:rsidRDefault="00593261" w:rsidP="00593261">
            <w:pPr>
              <w:spacing w:after="0" w:line="240" w:lineRule="auto"/>
              <w:jc w:val="center"/>
              <w:rPr>
                <w:rFonts w:ascii="Nunito" w:eastAsia="Times New Roman" w:hAnsi="Nunito" w:cs="Arial"/>
                <w:b/>
                <w:bCs/>
                <w:color w:val="000000"/>
                <w:sz w:val="32"/>
                <w:szCs w:val="32"/>
              </w:rPr>
            </w:pPr>
            <w:r w:rsidRPr="00593261">
              <w:rPr>
                <w:rFonts w:ascii="Nunito" w:eastAsia="Times New Roman" w:hAnsi="Nunito" w:cs="Arial"/>
                <w:b/>
                <w:bCs/>
                <w:color w:val="000000"/>
                <w:sz w:val="32"/>
                <w:szCs w:val="32"/>
              </w:rPr>
              <w:t>Source of Funds Composition</w:t>
            </w:r>
          </w:p>
        </w:tc>
        <w:tc>
          <w:tcPr>
            <w:tcW w:w="3700" w:type="dxa"/>
            <w:tcBorders>
              <w:top w:val="single" w:sz="4" w:space="0" w:color="auto"/>
              <w:left w:val="nil"/>
              <w:bottom w:val="single" w:sz="4" w:space="0" w:color="auto"/>
              <w:right w:val="single" w:sz="4" w:space="0" w:color="auto"/>
            </w:tcBorders>
            <w:shd w:val="clear" w:color="AAD093" w:fill="B6D7A8"/>
            <w:hideMark/>
          </w:tcPr>
          <w:p w14:paraId="3D99ED04" w14:textId="77777777" w:rsidR="00593261" w:rsidRPr="00593261" w:rsidRDefault="00593261" w:rsidP="00593261">
            <w:pPr>
              <w:spacing w:after="0" w:line="240" w:lineRule="auto"/>
              <w:jc w:val="center"/>
              <w:rPr>
                <w:rFonts w:ascii="Nunito" w:eastAsia="Times New Roman" w:hAnsi="Nunito" w:cs="Arial"/>
                <w:b/>
                <w:bCs/>
                <w:color w:val="000000"/>
                <w:sz w:val="32"/>
                <w:szCs w:val="32"/>
              </w:rPr>
            </w:pPr>
            <w:r w:rsidRPr="00593261">
              <w:rPr>
                <w:rFonts w:ascii="Nunito" w:eastAsia="Times New Roman" w:hAnsi="Nunito" w:cs="Arial"/>
                <w:b/>
                <w:bCs/>
                <w:color w:val="000000"/>
                <w:sz w:val="32"/>
                <w:szCs w:val="32"/>
              </w:rPr>
              <w:t>2020 Covid-19 Responsive</w:t>
            </w:r>
            <w:r w:rsidR="00150171">
              <w:rPr>
                <w:rFonts w:ascii="Nunito" w:eastAsia="Times New Roman" w:hAnsi="Nunito" w:cs="Arial"/>
                <w:b/>
                <w:bCs/>
                <w:color w:val="000000"/>
                <w:sz w:val="32"/>
                <w:szCs w:val="32"/>
              </w:rPr>
              <w:t xml:space="preserve"> Citizens</w:t>
            </w:r>
            <w:r w:rsidRPr="00593261">
              <w:rPr>
                <w:rFonts w:ascii="Nunito" w:eastAsia="Times New Roman" w:hAnsi="Nunito" w:cs="Arial"/>
                <w:b/>
                <w:bCs/>
                <w:color w:val="000000"/>
                <w:sz w:val="32"/>
                <w:szCs w:val="32"/>
              </w:rPr>
              <w:t xml:space="preserve"> Budget Target </w:t>
            </w:r>
          </w:p>
        </w:tc>
        <w:tc>
          <w:tcPr>
            <w:tcW w:w="2620" w:type="dxa"/>
            <w:tcBorders>
              <w:top w:val="single" w:sz="4" w:space="0" w:color="auto"/>
              <w:left w:val="nil"/>
              <w:bottom w:val="single" w:sz="4" w:space="0" w:color="auto"/>
              <w:right w:val="single" w:sz="4" w:space="0" w:color="auto"/>
            </w:tcBorders>
            <w:shd w:val="clear" w:color="AAD093" w:fill="B6D7A8"/>
            <w:hideMark/>
          </w:tcPr>
          <w:p w14:paraId="55268C97" w14:textId="77777777" w:rsidR="00593261" w:rsidRPr="00593261" w:rsidRDefault="00593261" w:rsidP="00593261">
            <w:pPr>
              <w:spacing w:after="0" w:line="240" w:lineRule="auto"/>
              <w:jc w:val="center"/>
              <w:rPr>
                <w:rFonts w:ascii="Nunito" w:eastAsia="Times New Roman" w:hAnsi="Nunito" w:cs="Arial"/>
                <w:b/>
                <w:bCs/>
                <w:color w:val="000000"/>
                <w:sz w:val="32"/>
                <w:szCs w:val="32"/>
              </w:rPr>
            </w:pPr>
            <w:proofErr w:type="gramStart"/>
            <w:r w:rsidRPr="00593261">
              <w:rPr>
                <w:rFonts w:ascii="Nunito" w:eastAsia="Times New Roman" w:hAnsi="Nunito" w:cs="Arial"/>
                <w:b/>
                <w:bCs/>
                <w:color w:val="000000"/>
                <w:sz w:val="32"/>
                <w:szCs w:val="32"/>
              </w:rPr>
              <w:t>2020  Percentage</w:t>
            </w:r>
            <w:proofErr w:type="gramEnd"/>
            <w:r w:rsidRPr="00593261">
              <w:rPr>
                <w:rFonts w:ascii="Nunito" w:eastAsia="Times New Roman" w:hAnsi="Nunito" w:cs="Arial"/>
                <w:b/>
                <w:bCs/>
                <w:color w:val="000000"/>
                <w:sz w:val="32"/>
                <w:szCs w:val="32"/>
              </w:rPr>
              <w:t xml:space="preserve"> of Total Sources of Funds</w:t>
            </w:r>
          </w:p>
        </w:tc>
      </w:tr>
      <w:tr w:rsidR="00593261" w:rsidRPr="00593261" w14:paraId="08A60D12" w14:textId="77777777" w:rsidTr="00593261">
        <w:trPr>
          <w:trHeight w:val="315"/>
        </w:trPr>
        <w:tc>
          <w:tcPr>
            <w:tcW w:w="4120" w:type="dxa"/>
            <w:tcBorders>
              <w:top w:val="nil"/>
              <w:left w:val="single" w:sz="4" w:space="0" w:color="auto"/>
              <w:bottom w:val="single" w:sz="4" w:space="0" w:color="auto"/>
              <w:right w:val="single" w:sz="4" w:space="0" w:color="auto"/>
            </w:tcBorders>
            <w:shd w:val="clear" w:color="DDDDDD" w:fill="DEEAF6"/>
            <w:noWrap/>
            <w:vAlign w:val="bottom"/>
            <w:hideMark/>
          </w:tcPr>
          <w:p w14:paraId="02BABA54" w14:textId="77777777" w:rsidR="00593261" w:rsidRPr="00593261" w:rsidRDefault="00593261" w:rsidP="00593261">
            <w:pPr>
              <w:spacing w:after="0" w:line="240" w:lineRule="auto"/>
              <w:rPr>
                <w:rFonts w:ascii="Nunito" w:eastAsia="Times New Roman" w:hAnsi="Nunito" w:cs="Arial"/>
                <w:color w:val="000000"/>
                <w:sz w:val="32"/>
                <w:szCs w:val="32"/>
              </w:rPr>
            </w:pPr>
            <w:r w:rsidRPr="00593261">
              <w:rPr>
                <w:rFonts w:ascii="Nunito" w:eastAsia="Times New Roman" w:hAnsi="Nunito" w:cs="Arial"/>
                <w:color w:val="000000"/>
                <w:sz w:val="32"/>
                <w:szCs w:val="32"/>
              </w:rPr>
              <w:t>Internally Generated Revenue</w:t>
            </w:r>
          </w:p>
        </w:tc>
        <w:tc>
          <w:tcPr>
            <w:tcW w:w="3700" w:type="dxa"/>
            <w:tcBorders>
              <w:top w:val="nil"/>
              <w:left w:val="nil"/>
              <w:bottom w:val="single" w:sz="4" w:space="0" w:color="auto"/>
              <w:right w:val="single" w:sz="4" w:space="0" w:color="auto"/>
            </w:tcBorders>
            <w:shd w:val="clear" w:color="DDDDDD" w:fill="DEEAF6"/>
            <w:noWrap/>
            <w:vAlign w:val="bottom"/>
            <w:hideMark/>
          </w:tcPr>
          <w:p w14:paraId="508AD1E0" w14:textId="77777777" w:rsidR="00593261" w:rsidRPr="00593261" w:rsidRDefault="00593261" w:rsidP="00593261">
            <w:pPr>
              <w:spacing w:after="0" w:line="240" w:lineRule="auto"/>
              <w:rPr>
                <w:rFonts w:ascii="Nunito" w:eastAsia="Times New Roman" w:hAnsi="Nunito" w:cs="Arial"/>
                <w:color w:val="000000"/>
                <w:sz w:val="32"/>
                <w:szCs w:val="32"/>
              </w:rPr>
            </w:pPr>
            <w:r w:rsidRPr="00593261">
              <w:rPr>
                <w:rFonts w:ascii="Nunito" w:eastAsia="Times New Roman" w:hAnsi="Nunito" w:cs="Arial"/>
                <w:color w:val="000000"/>
                <w:sz w:val="32"/>
                <w:szCs w:val="32"/>
              </w:rPr>
              <w:t xml:space="preserve">                                  10.000.000.000 </w:t>
            </w:r>
          </w:p>
        </w:tc>
        <w:tc>
          <w:tcPr>
            <w:tcW w:w="2620" w:type="dxa"/>
            <w:tcBorders>
              <w:top w:val="nil"/>
              <w:left w:val="nil"/>
              <w:bottom w:val="single" w:sz="4" w:space="0" w:color="auto"/>
              <w:right w:val="single" w:sz="4" w:space="0" w:color="auto"/>
            </w:tcBorders>
            <w:shd w:val="clear" w:color="DDDDDD" w:fill="DEEAF6"/>
            <w:noWrap/>
            <w:vAlign w:val="bottom"/>
            <w:hideMark/>
          </w:tcPr>
          <w:p w14:paraId="78A26267" w14:textId="77777777" w:rsidR="00593261" w:rsidRPr="00593261" w:rsidRDefault="00593261" w:rsidP="00593261">
            <w:pPr>
              <w:spacing w:after="0" w:line="240" w:lineRule="auto"/>
              <w:jc w:val="right"/>
              <w:rPr>
                <w:rFonts w:ascii="Nunito" w:eastAsia="Times New Roman" w:hAnsi="Nunito" w:cs="Arial"/>
                <w:color w:val="000000"/>
                <w:sz w:val="32"/>
                <w:szCs w:val="32"/>
              </w:rPr>
            </w:pPr>
            <w:r w:rsidRPr="00593261">
              <w:rPr>
                <w:rFonts w:ascii="Nunito" w:eastAsia="Times New Roman" w:hAnsi="Nunito" w:cs="Arial"/>
                <w:color w:val="000000"/>
                <w:sz w:val="32"/>
                <w:szCs w:val="32"/>
              </w:rPr>
              <w:t>5,5%</w:t>
            </w:r>
          </w:p>
        </w:tc>
      </w:tr>
      <w:tr w:rsidR="00593261" w:rsidRPr="00593261" w14:paraId="1D5425AF" w14:textId="77777777" w:rsidTr="00593261">
        <w:trPr>
          <w:trHeight w:val="315"/>
        </w:trPr>
        <w:tc>
          <w:tcPr>
            <w:tcW w:w="4120" w:type="dxa"/>
            <w:tcBorders>
              <w:top w:val="nil"/>
              <w:left w:val="single" w:sz="4" w:space="0" w:color="auto"/>
              <w:bottom w:val="single" w:sz="4" w:space="0" w:color="auto"/>
              <w:right w:val="single" w:sz="4" w:space="0" w:color="auto"/>
            </w:tcBorders>
            <w:shd w:val="clear" w:color="DDDDDD" w:fill="DEEAF6"/>
            <w:noWrap/>
            <w:vAlign w:val="bottom"/>
            <w:hideMark/>
          </w:tcPr>
          <w:p w14:paraId="6550248F" w14:textId="77777777" w:rsidR="00593261" w:rsidRPr="00593261" w:rsidRDefault="00593261" w:rsidP="00593261">
            <w:pPr>
              <w:spacing w:after="0" w:line="240" w:lineRule="auto"/>
              <w:rPr>
                <w:rFonts w:ascii="Nunito" w:eastAsia="Times New Roman" w:hAnsi="Nunito" w:cs="Arial"/>
                <w:color w:val="000000"/>
                <w:sz w:val="32"/>
                <w:szCs w:val="32"/>
              </w:rPr>
            </w:pPr>
            <w:r w:rsidRPr="00593261">
              <w:rPr>
                <w:rFonts w:ascii="Nunito" w:eastAsia="Times New Roman" w:hAnsi="Nunito" w:cs="Arial"/>
                <w:color w:val="000000"/>
                <w:sz w:val="32"/>
                <w:szCs w:val="32"/>
              </w:rPr>
              <w:t>Statutory Allocation</w:t>
            </w:r>
          </w:p>
        </w:tc>
        <w:tc>
          <w:tcPr>
            <w:tcW w:w="3700" w:type="dxa"/>
            <w:tcBorders>
              <w:top w:val="nil"/>
              <w:left w:val="nil"/>
              <w:bottom w:val="single" w:sz="4" w:space="0" w:color="auto"/>
              <w:right w:val="single" w:sz="4" w:space="0" w:color="auto"/>
            </w:tcBorders>
            <w:shd w:val="clear" w:color="DDDDDD" w:fill="DEEAF6"/>
            <w:noWrap/>
            <w:vAlign w:val="bottom"/>
            <w:hideMark/>
          </w:tcPr>
          <w:p w14:paraId="4E97648E" w14:textId="77777777" w:rsidR="00593261" w:rsidRPr="00593261" w:rsidRDefault="00593261" w:rsidP="00593261">
            <w:pPr>
              <w:spacing w:after="0" w:line="240" w:lineRule="auto"/>
              <w:rPr>
                <w:rFonts w:ascii="Nunito" w:eastAsia="Times New Roman" w:hAnsi="Nunito" w:cs="Arial"/>
                <w:color w:val="000000"/>
                <w:sz w:val="32"/>
                <w:szCs w:val="32"/>
              </w:rPr>
            </w:pPr>
            <w:r w:rsidRPr="00593261">
              <w:rPr>
                <w:rFonts w:ascii="Nunito" w:eastAsia="Times New Roman" w:hAnsi="Nunito" w:cs="Arial"/>
                <w:color w:val="000000"/>
                <w:sz w:val="32"/>
                <w:szCs w:val="32"/>
              </w:rPr>
              <w:t xml:space="preserve">                                  90.486.647.583 </w:t>
            </w:r>
          </w:p>
        </w:tc>
        <w:tc>
          <w:tcPr>
            <w:tcW w:w="2620" w:type="dxa"/>
            <w:tcBorders>
              <w:top w:val="nil"/>
              <w:left w:val="nil"/>
              <w:bottom w:val="single" w:sz="4" w:space="0" w:color="auto"/>
              <w:right w:val="single" w:sz="4" w:space="0" w:color="auto"/>
            </w:tcBorders>
            <w:shd w:val="clear" w:color="DDDDDD" w:fill="DEEAF6"/>
            <w:noWrap/>
            <w:vAlign w:val="bottom"/>
            <w:hideMark/>
          </w:tcPr>
          <w:p w14:paraId="20F976ED" w14:textId="77777777" w:rsidR="00593261" w:rsidRPr="00593261" w:rsidRDefault="00593261" w:rsidP="00593261">
            <w:pPr>
              <w:spacing w:after="0" w:line="240" w:lineRule="auto"/>
              <w:jc w:val="right"/>
              <w:rPr>
                <w:rFonts w:ascii="Nunito" w:eastAsia="Times New Roman" w:hAnsi="Nunito" w:cs="Arial"/>
                <w:color w:val="000000"/>
                <w:sz w:val="32"/>
                <w:szCs w:val="32"/>
              </w:rPr>
            </w:pPr>
            <w:r w:rsidRPr="00593261">
              <w:rPr>
                <w:rFonts w:ascii="Nunito" w:eastAsia="Times New Roman" w:hAnsi="Nunito" w:cs="Arial"/>
                <w:color w:val="000000"/>
                <w:sz w:val="32"/>
                <w:szCs w:val="32"/>
              </w:rPr>
              <w:t>49,4%</w:t>
            </w:r>
          </w:p>
        </w:tc>
      </w:tr>
      <w:tr w:rsidR="00593261" w:rsidRPr="00593261" w14:paraId="3B9CF10B" w14:textId="77777777" w:rsidTr="00593261">
        <w:trPr>
          <w:trHeight w:val="315"/>
        </w:trPr>
        <w:tc>
          <w:tcPr>
            <w:tcW w:w="4120" w:type="dxa"/>
            <w:tcBorders>
              <w:top w:val="nil"/>
              <w:left w:val="single" w:sz="4" w:space="0" w:color="auto"/>
              <w:bottom w:val="single" w:sz="4" w:space="0" w:color="auto"/>
              <w:right w:val="single" w:sz="4" w:space="0" w:color="auto"/>
            </w:tcBorders>
            <w:shd w:val="clear" w:color="DDDDDD" w:fill="DEEAF6"/>
            <w:noWrap/>
            <w:vAlign w:val="bottom"/>
            <w:hideMark/>
          </w:tcPr>
          <w:p w14:paraId="40367E45" w14:textId="77777777" w:rsidR="00593261" w:rsidRPr="00593261" w:rsidRDefault="00593261" w:rsidP="00593261">
            <w:pPr>
              <w:spacing w:after="0" w:line="240" w:lineRule="auto"/>
              <w:rPr>
                <w:rFonts w:ascii="Nunito" w:eastAsia="Times New Roman" w:hAnsi="Nunito" w:cs="Arial"/>
                <w:color w:val="000000"/>
                <w:sz w:val="32"/>
                <w:szCs w:val="32"/>
              </w:rPr>
            </w:pPr>
            <w:r w:rsidRPr="00593261">
              <w:rPr>
                <w:rFonts w:ascii="Nunito" w:eastAsia="Times New Roman" w:hAnsi="Nunito" w:cs="Arial"/>
                <w:color w:val="000000"/>
                <w:sz w:val="32"/>
                <w:szCs w:val="32"/>
              </w:rPr>
              <w:t>Value Added Tax</w:t>
            </w:r>
          </w:p>
        </w:tc>
        <w:tc>
          <w:tcPr>
            <w:tcW w:w="3700" w:type="dxa"/>
            <w:tcBorders>
              <w:top w:val="nil"/>
              <w:left w:val="nil"/>
              <w:bottom w:val="single" w:sz="4" w:space="0" w:color="auto"/>
              <w:right w:val="single" w:sz="4" w:space="0" w:color="auto"/>
            </w:tcBorders>
            <w:shd w:val="clear" w:color="DDDDDD" w:fill="DEEAF6"/>
            <w:noWrap/>
            <w:vAlign w:val="bottom"/>
            <w:hideMark/>
          </w:tcPr>
          <w:p w14:paraId="0596F2CA" w14:textId="77777777" w:rsidR="00593261" w:rsidRPr="00593261" w:rsidRDefault="00593261" w:rsidP="00593261">
            <w:pPr>
              <w:spacing w:after="0" w:line="240" w:lineRule="auto"/>
              <w:rPr>
                <w:rFonts w:ascii="Nunito" w:eastAsia="Times New Roman" w:hAnsi="Nunito" w:cs="Arial"/>
                <w:color w:val="000000"/>
                <w:sz w:val="32"/>
                <w:szCs w:val="32"/>
              </w:rPr>
            </w:pPr>
            <w:r w:rsidRPr="00593261">
              <w:rPr>
                <w:rFonts w:ascii="Nunito" w:eastAsia="Times New Roman" w:hAnsi="Nunito" w:cs="Arial"/>
                <w:color w:val="000000"/>
                <w:sz w:val="32"/>
                <w:szCs w:val="32"/>
              </w:rPr>
              <w:t xml:space="preserve">                                    9.796.403.415 </w:t>
            </w:r>
          </w:p>
        </w:tc>
        <w:tc>
          <w:tcPr>
            <w:tcW w:w="2620" w:type="dxa"/>
            <w:tcBorders>
              <w:top w:val="nil"/>
              <w:left w:val="nil"/>
              <w:bottom w:val="single" w:sz="4" w:space="0" w:color="auto"/>
              <w:right w:val="single" w:sz="4" w:space="0" w:color="auto"/>
            </w:tcBorders>
            <w:shd w:val="clear" w:color="DDDDDD" w:fill="DEEAF6"/>
            <w:noWrap/>
            <w:vAlign w:val="bottom"/>
            <w:hideMark/>
          </w:tcPr>
          <w:p w14:paraId="0AECDB12" w14:textId="77777777" w:rsidR="00593261" w:rsidRPr="00593261" w:rsidRDefault="00593261" w:rsidP="00593261">
            <w:pPr>
              <w:spacing w:after="0" w:line="240" w:lineRule="auto"/>
              <w:jc w:val="right"/>
              <w:rPr>
                <w:rFonts w:ascii="Nunito" w:eastAsia="Times New Roman" w:hAnsi="Nunito" w:cs="Arial"/>
                <w:color w:val="000000"/>
                <w:sz w:val="32"/>
                <w:szCs w:val="32"/>
              </w:rPr>
            </w:pPr>
            <w:r w:rsidRPr="00593261">
              <w:rPr>
                <w:rFonts w:ascii="Nunito" w:eastAsia="Times New Roman" w:hAnsi="Nunito" w:cs="Arial"/>
                <w:color w:val="000000"/>
                <w:sz w:val="32"/>
                <w:szCs w:val="32"/>
              </w:rPr>
              <w:t>5,3%</w:t>
            </w:r>
          </w:p>
        </w:tc>
      </w:tr>
      <w:tr w:rsidR="00593261" w:rsidRPr="00593261" w14:paraId="15405C69" w14:textId="77777777" w:rsidTr="00593261">
        <w:trPr>
          <w:trHeight w:val="315"/>
        </w:trPr>
        <w:tc>
          <w:tcPr>
            <w:tcW w:w="4120" w:type="dxa"/>
            <w:tcBorders>
              <w:top w:val="nil"/>
              <w:left w:val="single" w:sz="4" w:space="0" w:color="auto"/>
              <w:bottom w:val="single" w:sz="4" w:space="0" w:color="auto"/>
              <w:right w:val="single" w:sz="4" w:space="0" w:color="auto"/>
            </w:tcBorders>
            <w:shd w:val="clear" w:color="DDDDDD" w:fill="DEEAF6"/>
            <w:noWrap/>
            <w:vAlign w:val="bottom"/>
            <w:hideMark/>
          </w:tcPr>
          <w:p w14:paraId="0ED812FC" w14:textId="77777777" w:rsidR="00593261" w:rsidRPr="00593261" w:rsidRDefault="00593261" w:rsidP="00593261">
            <w:pPr>
              <w:spacing w:after="0" w:line="240" w:lineRule="auto"/>
              <w:rPr>
                <w:rFonts w:ascii="Nunito" w:eastAsia="Times New Roman" w:hAnsi="Nunito" w:cs="Arial"/>
                <w:color w:val="000000"/>
                <w:sz w:val="32"/>
                <w:szCs w:val="32"/>
              </w:rPr>
            </w:pPr>
            <w:r w:rsidRPr="00593261">
              <w:rPr>
                <w:rFonts w:ascii="Nunito" w:eastAsia="Times New Roman" w:hAnsi="Nunito" w:cs="Arial"/>
                <w:color w:val="000000"/>
                <w:sz w:val="32"/>
                <w:szCs w:val="32"/>
              </w:rPr>
              <w:t xml:space="preserve">Other Revenue </w:t>
            </w:r>
          </w:p>
        </w:tc>
        <w:tc>
          <w:tcPr>
            <w:tcW w:w="3700" w:type="dxa"/>
            <w:tcBorders>
              <w:top w:val="nil"/>
              <w:left w:val="nil"/>
              <w:bottom w:val="single" w:sz="4" w:space="0" w:color="auto"/>
              <w:right w:val="single" w:sz="4" w:space="0" w:color="auto"/>
            </w:tcBorders>
            <w:shd w:val="clear" w:color="DDDDDD" w:fill="DEEAF6"/>
            <w:noWrap/>
            <w:vAlign w:val="bottom"/>
            <w:hideMark/>
          </w:tcPr>
          <w:p w14:paraId="125CF4D0" w14:textId="77777777" w:rsidR="00593261" w:rsidRPr="00593261" w:rsidRDefault="00593261" w:rsidP="00593261">
            <w:pPr>
              <w:spacing w:after="0" w:line="240" w:lineRule="auto"/>
              <w:jc w:val="right"/>
              <w:rPr>
                <w:rFonts w:ascii="Nunito" w:eastAsia="Times New Roman" w:hAnsi="Nunito" w:cs="Arial"/>
                <w:color w:val="000000"/>
                <w:sz w:val="32"/>
                <w:szCs w:val="32"/>
              </w:rPr>
            </w:pPr>
            <w:r w:rsidRPr="00593261">
              <w:rPr>
                <w:rFonts w:ascii="Nunito" w:eastAsia="Times New Roman" w:hAnsi="Nunito" w:cs="Arial"/>
                <w:color w:val="000000"/>
                <w:sz w:val="32"/>
                <w:szCs w:val="32"/>
              </w:rPr>
              <w:t>43.872.250.098</w:t>
            </w:r>
          </w:p>
        </w:tc>
        <w:tc>
          <w:tcPr>
            <w:tcW w:w="2620" w:type="dxa"/>
            <w:tcBorders>
              <w:top w:val="nil"/>
              <w:left w:val="nil"/>
              <w:bottom w:val="single" w:sz="4" w:space="0" w:color="auto"/>
              <w:right w:val="single" w:sz="4" w:space="0" w:color="auto"/>
            </w:tcBorders>
            <w:shd w:val="clear" w:color="DDDDDD" w:fill="DEEAF6"/>
            <w:noWrap/>
            <w:vAlign w:val="bottom"/>
            <w:hideMark/>
          </w:tcPr>
          <w:p w14:paraId="132889EF" w14:textId="77777777" w:rsidR="00593261" w:rsidRPr="00593261" w:rsidRDefault="00593261" w:rsidP="00593261">
            <w:pPr>
              <w:spacing w:after="0" w:line="240" w:lineRule="auto"/>
              <w:jc w:val="right"/>
              <w:rPr>
                <w:rFonts w:ascii="Nunito" w:eastAsia="Times New Roman" w:hAnsi="Nunito" w:cs="Arial"/>
                <w:color w:val="000000"/>
                <w:sz w:val="32"/>
                <w:szCs w:val="32"/>
              </w:rPr>
            </w:pPr>
            <w:r w:rsidRPr="00593261">
              <w:rPr>
                <w:rFonts w:ascii="Nunito" w:eastAsia="Times New Roman" w:hAnsi="Nunito" w:cs="Arial"/>
                <w:color w:val="000000"/>
                <w:sz w:val="32"/>
                <w:szCs w:val="32"/>
              </w:rPr>
              <w:t>24,0%</w:t>
            </w:r>
          </w:p>
        </w:tc>
      </w:tr>
      <w:tr w:rsidR="00593261" w:rsidRPr="00593261" w14:paraId="79A4A8A7" w14:textId="77777777" w:rsidTr="00593261">
        <w:trPr>
          <w:trHeight w:val="315"/>
        </w:trPr>
        <w:tc>
          <w:tcPr>
            <w:tcW w:w="4120" w:type="dxa"/>
            <w:tcBorders>
              <w:top w:val="nil"/>
              <w:left w:val="single" w:sz="4" w:space="0" w:color="auto"/>
              <w:bottom w:val="single" w:sz="4" w:space="0" w:color="auto"/>
              <w:right w:val="single" w:sz="4" w:space="0" w:color="auto"/>
            </w:tcBorders>
            <w:shd w:val="clear" w:color="DDDDDD" w:fill="DEEAF6"/>
            <w:noWrap/>
            <w:vAlign w:val="bottom"/>
            <w:hideMark/>
          </w:tcPr>
          <w:p w14:paraId="6125DFAA" w14:textId="77777777" w:rsidR="00593261" w:rsidRPr="00593261" w:rsidRDefault="00593261" w:rsidP="00593261">
            <w:pPr>
              <w:spacing w:after="0" w:line="240" w:lineRule="auto"/>
              <w:rPr>
                <w:rFonts w:ascii="Nunito" w:eastAsia="Times New Roman" w:hAnsi="Nunito" w:cs="Arial"/>
                <w:color w:val="000000"/>
                <w:sz w:val="32"/>
                <w:szCs w:val="32"/>
              </w:rPr>
            </w:pPr>
            <w:r w:rsidRPr="00593261">
              <w:rPr>
                <w:rFonts w:ascii="Nunito" w:eastAsia="Times New Roman" w:hAnsi="Nunito" w:cs="Arial"/>
                <w:color w:val="000000"/>
                <w:sz w:val="32"/>
                <w:szCs w:val="32"/>
              </w:rPr>
              <w:t>Domestic Grants</w:t>
            </w:r>
          </w:p>
        </w:tc>
        <w:tc>
          <w:tcPr>
            <w:tcW w:w="3700" w:type="dxa"/>
            <w:tcBorders>
              <w:top w:val="nil"/>
              <w:left w:val="nil"/>
              <w:bottom w:val="single" w:sz="4" w:space="0" w:color="auto"/>
              <w:right w:val="single" w:sz="4" w:space="0" w:color="auto"/>
            </w:tcBorders>
            <w:shd w:val="clear" w:color="DDDDDD" w:fill="DEEAF6"/>
            <w:noWrap/>
            <w:vAlign w:val="bottom"/>
            <w:hideMark/>
          </w:tcPr>
          <w:p w14:paraId="05026D74" w14:textId="77777777" w:rsidR="00593261" w:rsidRPr="00593261" w:rsidRDefault="00593261" w:rsidP="00593261">
            <w:pPr>
              <w:spacing w:after="0" w:line="240" w:lineRule="auto"/>
              <w:rPr>
                <w:rFonts w:ascii="Nunito" w:eastAsia="Times New Roman" w:hAnsi="Nunito" w:cs="Arial"/>
                <w:color w:val="000000"/>
                <w:sz w:val="32"/>
                <w:szCs w:val="32"/>
              </w:rPr>
            </w:pPr>
            <w:r w:rsidRPr="00593261">
              <w:rPr>
                <w:rFonts w:ascii="Nunito" w:eastAsia="Times New Roman" w:hAnsi="Nunito" w:cs="Arial"/>
                <w:color w:val="000000"/>
                <w:sz w:val="32"/>
                <w:szCs w:val="32"/>
              </w:rPr>
              <w:t xml:space="preserve">                                    5.200.000.000 </w:t>
            </w:r>
          </w:p>
        </w:tc>
        <w:tc>
          <w:tcPr>
            <w:tcW w:w="2620" w:type="dxa"/>
            <w:tcBorders>
              <w:top w:val="nil"/>
              <w:left w:val="nil"/>
              <w:bottom w:val="single" w:sz="4" w:space="0" w:color="auto"/>
              <w:right w:val="single" w:sz="4" w:space="0" w:color="auto"/>
            </w:tcBorders>
            <w:shd w:val="clear" w:color="DDDDDD" w:fill="DEEAF6"/>
            <w:noWrap/>
            <w:vAlign w:val="bottom"/>
            <w:hideMark/>
          </w:tcPr>
          <w:p w14:paraId="492DB5CF" w14:textId="77777777" w:rsidR="00593261" w:rsidRPr="00593261" w:rsidRDefault="00593261" w:rsidP="00593261">
            <w:pPr>
              <w:spacing w:after="0" w:line="240" w:lineRule="auto"/>
              <w:jc w:val="right"/>
              <w:rPr>
                <w:rFonts w:ascii="Nunito" w:eastAsia="Times New Roman" w:hAnsi="Nunito" w:cs="Arial"/>
                <w:color w:val="000000"/>
                <w:sz w:val="32"/>
                <w:szCs w:val="32"/>
              </w:rPr>
            </w:pPr>
            <w:r w:rsidRPr="00593261">
              <w:rPr>
                <w:rFonts w:ascii="Nunito" w:eastAsia="Times New Roman" w:hAnsi="Nunito" w:cs="Arial"/>
                <w:color w:val="000000"/>
                <w:sz w:val="32"/>
                <w:szCs w:val="32"/>
              </w:rPr>
              <w:t>2,8%</w:t>
            </w:r>
          </w:p>
        </w:tc>
      </w:tr>
      <w:tr w:rsidR="00593261" w:rsidRPr="00593261" w14:paraId="0AE62631" w14:textId="77777777" w:rsidTr="00593261">
        <w:trPr>
          <w:trHeight w:val="315"/>
        </w:trPr>
        <w:tc>
          <w:tcPr>
            <w:tcW w:w="4120" w:type="dxa"/>
            <w:tcBorders>
              <w:top w:val="nil"/>
              <w:left w:val="single" w:sz="4" w:space="0" w:color="auto"/>
              <w:bottom w:val="single" w:sz="4" w:space="0" w:color="auto"/>
              <w:right w:val="single" w:sz="4" w:space="0" w:color="auto"/>
            </w:tcBorders>
            <w:shd w:val="clear" w:color="DDDDDD" w:fill="DEEAF6"/>
            <w:noWrap/>
            <w:vAlign w:val="bottom"/>
            <w:hideMark/>
          </w:tcPr>
          <w:p w14:paraId="3CE7026F" w14:textId="77777777" w:rsidR="00593261" w:rsidRPr="00593261" w:rsidRDefault="00593261" w:rsidP="00593261">
            <w:pPr>
              <w:spacing w:after="0" w:line="240" w:lineRule="auto"/>
              <w:rPr>
                <w:rFonts w:ascii="Nunito" w:eastAsia="Times New Roman" w:hAnsi="Nunito" w:cs="Arial"/>
                <w:color w:val="000000"/>
                <w:sz w:val="32"/>
                <w:szCs w:val="32"/>
              </w:rPr>
            </w:pPr>
            <w:r w:rsidRPr="00593261">
              <w:rPr>
                <w:rFonts w:ascii="Nunito" w:eastAsia="Times New Roman" w:hAnsi="Nunito" w:cs="Arial"/>
                <w:color w:val="000000"/>
                <w:sz w:val="32"/>
                <w:szCs w:val="32"/>
              </w:rPr>
              <w:t>Foreign Grants</w:t>
            </w:r>
          </w:p>
        </w:tc>
        <w:tc>
          <w:tcPr>
            <w:tcW w:w="3700" w:type="dxa"/>
            <w:tcBorders>
              <w:top w:val="nil"/>
              <w:left w:val="nil"/>
              <w:bottom w:val="single" w:sz="4" w:space="0" w:color="auto"/>
              <w:right w:val="single" w:sz="4" w:space="0" w:color="auto"/>
            </w:tcBorders>
            <w:shd w:val="clear" w:color="DDDDDD" w:fill="DEEAF6"/>
            <w:noWrap/>
            <w:vAlign w:val="bottom"/>
            <w:hideMark/>
          </w:tcPr>
          <w:p w14:paraId="0555283B" w14:textId="77777777" w:rsidR="00593261" w:rsidRPr="00593261" w:rsidRDefault="00593261" w:rsidP="00593261">
            <w:pPr>
              <w:spacing w:after="0" w:line="240" w:lineRule="auto"/>
              <w:rPr>
                <w:rFonts w:ascii="Nunito" w:eastAsia="Times New Roman" w:hAnsi="Nunito" w:cs="Arial"/>
                <w:color w:val="000000"/>
                <w:sz w:val="32"/>
                <w:szCs w:val="32"/>
              </w:rPr>
            </w:pPr>
            <w:r w:rsidRPr="00593261">
              <w:rPr>
                <w:rFonts w:ascii="Nunito" w:eastAsia="Times New Roman" w:hAnsi="Nunito" w:cs="Arial"/>
                <w:color w:val="000000"/>
                <w:sz w:val="32"/>
                <w:szCs w:val="32"/>
              </w:rPr>
              <w:t xml:space="preserve">                                    4.680.000.000 </w:t>
            </w:r>
          </w:p>
        </w:tc>
        <w:tc>
          <w:tcPr>
            <w:tcW w:w="2620" w:type="dxa"/>
            <w:tcBorders>
              <w:top w:val="nil"/>
              <w:left w:val="nil"/>
              <w:bottom w:val="single" w:sz="4" w:space="0" w:color="auto"/>
              <w:right w:val="single" w:sz="4" w:space="0" w:color="auto"/>
            </w:tcBorders>
            <w:shd w:val="clear" w:color="DDDDDD" w:fill="DEEAF6"/>
            <w:noWrap/>
            <w:vAlign w:val="bottom"/>
            <w:hideMark/>
          </w:tcPr>
          <w:p w14:paraId="2EF512FC" w14:textId="77777777" w:rsidR="00593261" w:rsidRPr="00593261" w:rsidRDefault="00593261" w:rsidP="00593261">
            <w:pPr>
              <w:spacing w:after="0" w:line="240" w:lineRule="auto"/>
              <w:jc w:val="right"/>
              <w:rPr>
                <w:rFonts w:ascii="Nunito" w:eastAsia="Times New Roman" w:hAnsi="Nunito" w:cs="Arial"/>
                <w:color w:val="000000"/>
                <w:sz w:val="32"/>
                <w:szCs w:val="32"/>
              </w:rPr>
            </w:pPr>
            <w:r w:rsidRPr="00593261">
              <w:rPr>
                <w:rFonts w:ascii="Nunito" w:eastAsia="Times New Roman" w:hAnsi="Nunito" w:cs="Arial"/>
                <w:color w:val="000000"/>
                <w:sz w:val="32"/>
                <w:szCs w:val="32"/>
              </w:rPr>
              <w:t>2,6%</w:t>
            </w:r>
          </w:p>
        </w:tc>
      </w:tr>
      <w:tr w:rsidR="00593261" w:rsidRPr="00593261" w14:paraId="1BE5D59F" w14:textId="77777777" w:rsidTr="00593261">
        <w:trPr>
          <w:trHeight w:val="315"/>
        </w:trPr>
        <w:tc>
          <w:tcPr>
            <w:tcW w:w="4120" w:type="dxa"/>
            <w:tcBorders>
              <w:top w:val="nil"/>
              <w:left w:val="single" w:sz="4" w:space="0" w:color="auto"/>
              <w:bottom w:val="single" w:sz="4" w:space="0" w:color="auto"/>
              <w:right w:val="single" w:sz="4" w:space="0" w:color="auto"/>
            </w:tcBorders>
            <w:shd w:val="clear" w:color="DDDDDD" w:fill="DEEAF6"/>
            <w:noWrap/>
            <w:vAlign w:val="bottom"/>
            <w:hideMark/>
          </w:tcPr>
          <w:p w14:paraId="3A53D4B5" w14:textId="77777777" w:rsidR="00593261" w:rsidRPr="00593261" w:rsidRDefault="00593261" w:rsidP="00593261">
            <w:pPr>
              <w:spacing w:after="0" w:line="240" w:lineRule="auto"/>
              <w:rPr>
                <w:rFonts w:ascii="Nunito" w:eastAsia="Times New Roman" w:hAnsi="Nunito" w:cs="Arial"/>
                <w:color w:val="000000"/>
                <w:sz w:val="32"/>
                <w:szCs w:val="32"/>
              </w:rPr>
            </w:pPr>
            <w:r w:rsidRPr="00593261">
              <w:rPr>
                <w:rFonts w:ascii="Nunito" w:eastAsia="Times New Roman" w:hAnsi="Nunito" w:cs="Arial"/>
                <w:color w:val="000000"/>
                <w:sz w:val="32"/>
                <w:szCs w:val="32"/>
              </w:rPr>
              <w:t>Opening Balance</w:t>
            </w:r>
          </w:p>
        </w:tc>
        <w:tc>
          <w:tcPr>
            <w:tcW w:w="3700" w:type="dxa"/>
            <w:tcBorders>
              <w:top w:val="nil"/>
              <w:left w:val="nil"/>
              <w:bottom w:val="single" w:sz="4" w:space="0" w:color="auto"/>
              <w:right w:val="single" w:sz="4" w:space="0" w:color="auto"/>
            </w:tcBorders>
            <w:shd w:val="clear" w:color="DDDDDD" w:fill="DEEAF6"/>
            <w:noWrap/>
            <w:vAlign w:val="bottom"/>
            <w:hideMark/>
          </w:tcPr>
          <w:p w14:paraId="3D13F25B" w14:textId="77777777" w:rsidR="00593261" w:rsidRPr="00593261" w:rsidRDefault="00593261" w:rsidP="00593261">
            <w:pPr>
              <w:spacing w:after="0" w:line="240" w:lineRule="auto"/>
              <w:rPr>
                <w:rFonts w:ascii="Nunito" w:eastAsia="Times New Roman" w:hAnsi="Nunito" w:cs="Arial"/>
                <w:color w:val="000000"/>
                <w:sz w:val="32"/>
                <w:szCs w:val="32"/>
              </w:rPr>
            </w:pPr>
            <w:r w:rsidRPr="00593261">
              <w:rPr>
                <w:rFonts w:ascii="Nunito" w:eastAsia="Times New Roman" w:hAnsi="Nunito" w:cs="Arial"/>
                <w:color w:val="000000"/>
                <w:sz w:val="32"/>
                <w:szCs w:val="32"/>
              </w:rPr>
              <w:t xml:space="preserve">                                  13.620.271.315 </w:t>
            </w:r>
          </w:p>
        </w:tc>
        <w:tc>
          <w:tcPr>
            <w:tcW w:w="2620" w:type="dxa"/>
            <w:tcBorders>
              <w:top w:val="nil"/>
              <w:left w:val="nil"/>
              <w:bottom w:val="single" w:sz="4" w:space="0" w:color="auto"/>
              <w:right w:val="single" w:sz="4" w:space="0" w:color="auto"/>
            </w:tcBorders>
            <w:shd w:val="clear" w:color="DDDDDD" w:fill="DEEAF6"/>
            <w:noWrap/>
            <w:vAlign w:val="bottom"/>
            <w:hideMark/>
          </w:tcPr>
          <w:p w14:paraId="4145554A" w14:textId="77777777" w:rsidR="00593261" w:rsidRPr="00593261" w:rsidRDefault="00593261" w:rsidP="00593261">
            <w:pPr>
              <w:spacing w:after="0" w:line="240" w:lineRule="auto"/>
              <w:jc w:val="right"/>
              <w:rPr>
                <w:rFonts w:ascii="Nunito" w:eastAsia="Times New Roman" w:hAnsi="Nunito" w:cs="Arial"/>
                <w:color w:val="000000"/>
                <w:sz w:val="32"/>
                <w:szCs w:val="32"/>
              </w:rPr>
            </w:pPr>
            <w:r w:rsidRPr="00593261">
              <w:rPr>
                <w:rFonts w:ascii="Nunito" w:eastAsia="Times New Roman" w:hAnsi="Nunito" w:cs="Arial"/>
                <w:color w:val="000000"/>
                <w:sz w:val="32"/>
                <w:szCs w:val="32"/>
              </w:rPr>
              <w:t>7,4%</w:t>
            </w:r>
          </w:p>
        </w:tc>
      </w:tr>
      <w:tr w:rsidR="00593261" w:rsidRPr="00593261" w14:paraId="22A1B4EC" w14:textId="77777777" w:rsidTr="00593261">
        <w:trPr>
          <w:trHeight w:val="315"/>
        </w:trPr>
        <w:tc>
          <w:tcPr>
            <w:tcW w:w="4120" w:type="dxa"/>
            <w:tcBorders>
              <w:top w:val="nil"/>
              <w:left w:val="single" w:sz="4" w:space="0" w:color="auto"/>
              <w:bottom w:val="single" w:sz="4" w:space="0" w:color="auto"/>
              <w:right w:val="single" w:sz="4" w:space="0" w:color="auto"/>
            </w:tcBorders>
            <w:shd w:val="clear" w:color="DDDDDD" w:fill="DEEAF6"/>
            <w:noWrap/>
            <w:vAlign w:val="bottom"/>
            <w:hideMark/>
          </w:tcPr>
          <w:p w14:paraId="5B40F127" w14:textId="77777777" w:rsidR="00593261" w:rsidRPr="00593261" w:rsidRDefault="00593261" w:rsidP="00593261">
            <w:pPr>
              <w:spacing w:after="0" w:line="240" w:lineRule="auto"/>
              <w:rPr>
                <w:rFonts w:ascii="Nunito" w:eastAsia="Times New Roman" w:hAnsi="Nunito" w:cs="Arial"/>
                <w:color w:val="000000"/>
                <w:sz w:val="32"/>
                <w:szCs w:val="32"/>
              </w:rPr>
            </w:pPr>
            <w:r w:rsidRPr="00593261">
              <w:rPr>
                <w:rFonts w:ascii="Nunito" w:eastAsia="Times New Roman" w:hAnsi="Nunito" w:cs="Arial"/>
                <w:color w:val="000000"/>
                <w:sz w:val="32"/>
                <w:szCs w:val="32"/>
              </w:rPr>
              <w:t>Domestic Loans</w:t>
            </w:r>
          </w:p>
        </w:tc>
        <w:tc>
          <w:tcPr>
            <w:tcW w:w="3700" w:type="dxa"/>
            <w:tcBorders>
              <w:top w:val="nil"/>
              <w:left w:val="nil"/>
              <w:bottom w:val="single" w:sz="4" w:space="0" w:color="auto"/>
              <w:right w:val="single" w:sz="4" w:space="0" w:color="auto"/>
            </w:tcBorders>
            <w:shd w:val="clear" w:color="DDDDDD" w:fill="DEEAF6"/>
            <w:noWrap/>
            <w:vAlign w:val="bottom"/>
            <w:hideMark/>
          </w:tcPr>
          <w:p w14:paraId="65704E71" w14:textId="77777777" w:rsidR="00593261" w:rsidRPr="00593261" w:rsidRDefault="00593261" w:rsidP="00593261">
            <w:pPr>
              <w:spacing w:after="0" w:line="240" w:lineRule="auto"/>
              <w:rPr>
                <w:rFonts w:ascii="Nunito" w:eastAsia="Times New Roman" w:hAnsi="Nunito" w:cs="Arial"/>
                <w:color w:val="000000"/>
                <w:sz w:val="32"/>
                <w:szCs w:val="32"/>
              </w:rPr>
            </w:pPr>
            <w:r w:rsidRPr="00593261">
              <w:rPr>
                <w:rFonts w:ascii="Nunito" w:eastAsia="Times New Roman" w:hAnsi="Nunito" w:cs="Arial"/>
                <w:color w:val="000000"/>
                <w:sz w:val="32"/>
                <w:szCs w:val="32"/>
              </w:rPr>
              <w:t xml:space="preserve">                                    5.500.000.000 </w:t>
            </w:r>
          </w:p>
        </w:tc>
        <w:tc>
          <w:tcPr>
            <w:tcW w:w="2620" w:type="dxa"/>
            <w:tcBorders>
              <w:top w:val="nil"/>
              <w:left w:val="nil"/>
              <w:bottom w:val="single" w:sz="4" w:space="0" w:color="auto"/>
              <w:right w:val="single" w:sz="4" w:space="0" w:color="auto"/>
            </w:tcBorders>
            <w:shd w:val="clear" w:color="DDDDDD" w:fill="DEEAF6"/>
            <w:noWrap/>
            <w:vAlign w:val="bottom"/>
            <w:hideMark/>
          </w:tcPr>
          <w:p w14:paraId="207E26C2" w14:textId="77777777" w:rsidR="00593261" w:rsidRPr="00593261" w:rsidRDefault="00593261" w:rsidP="00593261">
            <w:pPr>
              <w:spacing w:after="0" w:line="240" w:lineRule="auto"/>
              <w:jc w:val="right"/>
              <w:rPr>
                <w:rFonts w:ascii="Nunito" w:eastAsia="Times New Roman" w:hAnsi="Nunito" w:cs="Arial"/>
                <w:color w:val="000000"/>
                <w:sz w:val="32"/>
                <w:szCs w:val="32"/>
              </w:rPr>
            </w:pPr>
            <w:r w:rsidRPr="00593261">
              <w:rPr>
                <w:rFonts w:ascii="Nunito" w:eastAsia="Times New Roman" w:hAnsi="Nunito" w:cs="Arial"/>
                <w:color w:val="000000"/>
                <w:sz w:val="32"/>
                <w:szCs w:val="32"/>
              </w:rPr>
              <w:t>3,0%</w:t>
            </w:r>
          </w:p>
        </w:tc>
      </w:tr>
    </w:tbl>
    <w:p w14:paraId="30A69069" w14:textId="77777777" w:rsidR="003B3CEF" w:rsidRDefault="00273900" w:rsidP="003B3CEF">
      <w:pPr>
        <w:pStyle w:val="NoSpacing"/>
        <w:jc w:val="both"/>
        <w:rPr>
          <w:sz w:val="36"/>
          <w:szCs w:val="36"/>
        </w:rPr>
      </w:pPr>
      <w:r>
        <w:rPr>
          <w:sz w:val="36"/>
          <w:szCs w:val="36"/>
        </w:rPr>
        <w:t xml:space="preserve">                        </w:t>
      </w:r>
      <w:r w:rsidR="003B3CEF">
        <w:rPr>
          <w:sz w:val="36"/>
          <w:szCs w:val="36"/>
        </w:rPr>
        <w:t xml:space="preserve">              </w:t>
      </w:r>
    </w:p>
    <w:p w14:paraId="00FEDB59" w14:textId="77777777" w:rsidR="003B3CEF" w:rsidRDefault="00273900" w:rsidP="003B3CEF">
      <w:pPr>
        <w:pStyle w:val="NoSpacing"/>
        <w:jc w:val="both"/>
        <w:rPr>
          <w:sz w:val="36"/>
          <w:szCs w:val="36"/>
        </w:rPr>
      </w:pPr>
      <w:r>
        <w:rPr>
          <w:noProof/>
        </w:rPr>
        <w:lastRenderedPageBreak/>
        <w:t xml:space="preserve"> </w:t>
      </w:r>
    </w:p>
    <w:p w14:paraId="4C319895" w14:textId="77777777" w:rsidR="003B3CEF" w:rsidRDefault="003B3CEF" w:rsidP="00991E00">
      <w:pPr>
        <w:pStyle w:val="NoSpacing"/>
        <w:ind w:left="426"/>
        <w:jc w:val="both"/>
        <w:rPr>
          <w:sz w:val="36"/>
          <w:szCs w:val="36"/>
        </w:rPr>
      </w:pPr>
    </w:p>
    <w:p w14:paraId="25B76F43" w14:textId="77777777" w:rsidR="0049036D" w:rsidRDefault="0049036D" w:rsidP="00991E00">
      <w:pPr>
        <w:pStyle w:val="NoSpacing"/>
        <w:ind w:left="426"/>
        <w:jc w:val="both"/>
        <w:rPr>
          <w:sz w:val="36"/>
          <w:szCs w:val="36"/>
        </w:rPr>
      </w:pPr>
      <w:r>
        <w:rPr>
          <w:sz w:val="36"/>
          <w:szCs w:val="36"/>
        </w:rPr>
        <w:t xml:space="preserve">                                  </w:t>
      </w:r>
      <w:r>
        <w:rPr>
          <w:noProof/>
        </w:rPr>
        <w:drawing>
          <wp:inline distT="0" distB="0" distL="0" distR="0" wp14:anchorId="3267731C" wp14:editId="45B7B8A3">
            <wp:extent cx="5316510" cy="3533490"/>
            <wp:effectExtent l="0" t="0" r="17780" b="1016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09342832" w14:textId="77777777" w:rsidR="0049036D" w:rsidRDefault="0049036D" w:rsidP="00991E00">
      <w:pPr>
        <w:pStyle w:val="NoSpacing"/>
        <w:ind w:left="426"/>
        <w:jc w:val="both"/>
        <w:rPr>
          <w:sz w:val="36"/>
          <w:szCs w:val="36"/>
        </w:rPr>
      </w:pPr>
    </w:p>
    <w:p w14:paraId="30F6CB40" w14:textId="77777777" w:rsidR="0049036D" w:rsidRDefault="00DA0920" w:rsidP="00991E00">
      <w:pPr>
        <w:pStyle w:val="NoSpacing"/>
        <w:ind w:left="426"/>
        <w:jc w:val="both"/>
        <w:rPr>
          <w:sz w:val="36"/>
          <w:szCs w:val="36"/>
        </w:rPr>
      </w:pPr>
      <w:r>
        <w:rPr>
          <w:sz w:val="36"/>
          <w:szCs w:val="36"/>
        </w:rPr>
        <w:t xml:space="preserve">                        </w:t>
      </w:r>
      <w:r>
        <w:rPr>
          <w:noProof/>
        </w:rPr>
        <w:drawing>
          <wp:inline distT="0" distB="0" distL="0" distR="0" wp14:anchorId="34331949" wp14:editId="275DD7B8">
            <wp:extent cx="5304510" cy="3533625"/>
            <wp:effectExtent l="0" t="0" r="10795" b="1016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06E01BDD" w14:textId="77777777" w:rsidR="0049036D" w:rsidRDefault="0049036D" w:rsidP="00991E00">
      <w:pPr>
        <w:pStyle w:val="NoSpacing"/>
        <w:ind w:left="426"/>
        <w:jc w:val="both"/>
        <w:rPr>
          <w:sz w:val="36"/>
          <w:szCs w:val="36"/>
        </w:rPr>
      </w:pPr>
    </w:p>
    <w:p w14:paraId="5E9996F2" w14:textId="77777777" w:rsidR="008D5EE5" w:rsidRDefault="008D5EE5" w:rsidP="00991E00">
      <w:pPr>
        <w:pStyle w:val="NoSpacing"/>
        <w:ind w:left="426"/>
        <w:jc w:val="both"/>
        <w:rPr>
          <w:sz w:val="36"/>
          <w:szCs w:val="36"/>
        </w:rPr>
      </w:pPr>
    </w:p>
    <w:p w14:paraId="45409B74" w14:textId="77777777" w:rsidR="008F41CB" w:rsidRPr="002E6EE0" w:rsidRDefault="008F41CB" w:rsidP="008F41CB">
      <w:pPr>
        <w:rPr>
          <w:rFonts w:ascii="Algerian" w:hAnsi="Algerian" w:cs="Arial"/>
          <w:b/>
          <w:color w:val="00B050"/>
          <w:sz w:val="36"/>
          <w:szCs w:val="36"/>
        </w:rPr>
      </w:pPr>
      <w:r>
        <w:rPr>
          <w:rFonts w:ascii="Algerian" w:hAnsi="Algerian" w:cs="Arial"/>
          <w:b/>
          <w:color w:val="00B050"/>
          <w:sz w:val="36"/>
          <w:szCs w:val="36"/>
        </w:rPr>
        <w:t xml:space="preserve">                             EXPENDITURE BUDGET SIZE</w:t>
      </w:r>
    </w:p>
    <w:p w14:paraId="5A988D4D" w14:textId="77777777" w:rsidR="008F41CB" w:rsidRPr="0025509B" w:rsidRDefault="008F41CB" w:rsidP="008F41CB">
      <w:pPr>
        <w:jc w:val="center"/>
        <w:rPr>
          <w:rFonts w:ascii="Algerian" w:hAnsi="Algerian" w:cs="Arial"/>
          <w:b/>
          <w:color w:val="00B050"/>
          <w:sz w:val="36"/>
          <w:szCs w:val="36"/>
        </w:rPr>
      </w:pPr>
      <w:r>
        <w:rPr>
          <w:rFonts w:ascii="Algerian" w:hAnsi="Algerian" w:cs="Arial"/>
          <w:b/>
          <w:color w:val="00B050"/>
          <w:sz w:val="36"/>
          <w:szCs w:val="36"/>
        </w:rPr>
        <w:t>(</w:t>
      </w:r>
      <w:r w:rsidRPr="002E6EE0">
        <w:rPr>
          <w:rFonts w:ascii="Algerian" w:hAnsi="Algerian" w:cs="Arial"/>
          <w:b/>
          <w:color w:val="00B050"/>
          <w:sz w:val="36"/>
          <w:szCs w:val="36"/>
        </w:rPr>
        <w:t>HOW THE MONEY WILL BE SPENT</w:t>
      </w:r>
      <w:r>
        <w:rPr>
          <w:rFonts w:ascii="Algerian" w:hAnsi="Algerian" w:cs="Arial"/>
          <w:b/>
          <w:color w:val="00B050"/>
          <w:sz w:val="36"/>
          <w:szCs w:val="36"/>
        </w:rPr>
        <w:t>)</w:t>
      </w:r>
    </w:p>
    <w:p w14:paraId="2971ACD9" w14:textId="77777777" w:rsidR="008F41CB" w:rsidRDefault="008F41CB" w:rsidP="008F41CB">
      <w:pPr>
        <w:jc w:val="both"/>
        <w:rPr>
          <w:rFonts w:ascii="Arial" w:hAnsi="Arial" w:cs="Arial"/>
          <w:sz w:val="28"/>
          <w:szCs w:val="28"/>
        </w:rPr>
      </w:pPr>
      <w:r>
        <w:rPr>
          <w:rFonts w:ascii="Arial" w:hAnsi="Arial" w:cs="Arial"/>
          <w:sz w:val="28"/>
          <w:szCs w:val="28"/>
        </w:rPr>
        <w:t xml:space="preserve">The Revised 2020 Covid-19 spending plan is </w:t>
      </w:r>
      <w:r w:rsidRPr="00E54030">
        <w:rPr>
          <w:rFonts w:ascii="Arial" w:hAnsi="Arial" w:cs="Arial"/>
          <w:dstrike/>
          <w:sz w:val="28"/>
          <w:szCs w:val="28"/>
        </w:rPr>
        <w:t>N</w:t>
      </w:r>
      <w:r>
        <w:rPr>
          <w:rFonts w:ascii="Arial" w:hAnsi="Arial" w:cs="Arial"/>
          <w:sz w:val="28"/>
          <w:szCs w:val="28"/>
        </w:rPr>
        <w:t>183.156bn which is down by 11.3% from the 2019 approved budget</w:t>
      </w:r>
      <w:r w:rsidRPr="000A528F">
        <w:rPr>
          <w:rFonts w:ascii="Arial" w:hAnsi="Arial" w:cs="Arial"/>
          <w:sz w:val="28"/>
          <w:szCs w:val="28"/>
        </w:rPr>
        <w:t xml:space="preserve"> </w:t>
      </w:r>
      <w:r>
        <w:rPr>
          <w:rFonts w:ascii="Arial" w:hAnsi="Arial" w:cs="Arial"/>
          <w:sz w:val="28"/>
          <w:szCs w:val="28"/>
        </w:rPr>
        <w:t xml:space="preserve">estimates </w:t>
      </w:r>
      <w:r w:rsidRPr="000A528F">
        <w:rPr>
          <w:rFonts w:ascii="Arial" w:hAnsi="Arial" w:cs="Arial"/>
          <w:sz w:val="28"/>
          <w:szCs w:val="28"/>
        </w:rPr>
        <w:t xml:space="preserve">of </w:t>
      </w:r>
      <w:r w:rsidRPr="00E54030">
        <w:rPr>
          <w:rFonts w:ascii="Arial" w:hAnsi="Arial" w:cs="Arial"/>
          <w:dstrike/>
          <w:sz w:val="28"/>
          <w:szCs w:val="28"/>
        </w:rPr>
        <w:t>N</w:t>
      </w:r>
      <w:r>
        <w:rPr>
          <w:rFonts w:ascii="Arial" w:hAnsi="Arial" w:cs="Arial"/>
          <w:sz w:val="28"/>
          <w:szCs w:val="28"/>
        </w:rPr>
        <w:t>229.836</w:t>
      </w:r>
      <w:r w:rsidRPr="000A528F">
        <w:rPr>
          <w:rFonts w:ascii="Arial" w:hAnsi="Arial" w:cs="Arial"/>
          <w:sz w:val="28"/>
          <w:szCs w:val="28"/>
        </w:rPr>
        <w:t>bn.</w:t>
      </w:r>
      <w:r>
        <w:rPr>
          <w:rFonts w:ascii="Arial" w:hAnsi="Arial" w:cs="Arial"/>
          <w:sz w:val="28"/>
          <w:szCs w:val="28"/>
        </w:rPr>
        <w:t xml:space="preserve"> The total budgeted money will be spent on the following;</w:t>
      </w:r>
    </w:p>
    <w:p w14:paraId="0900CD90" w14:textId="77777777" w:rsidR="008F41CB" w:rsidRDefault="008F41CB" w:rsidP="008F41CB">
      <w:pPr>
        <w:pStyle w:val="ListParagraph"/>
        <w:numPr>
          <w:ilvl w:val="0"/>
          <w:numId w:val="8"/>
        </w:numPr>
        <w:spacing w:line="360" w:lineRule="auto"/>
        <w:jc w:val="both"/>
        <w:rPr>
          <w:rFonts w:ascii="Arial" w:hAnsi="Arial" w:cs="Arial"/>
          <w:sz w:val="28"/>
          <w:szCs w:val="28"/>
        </w:rPr>
      </w:pPr>
      <w:r>
        <w:rPr>
          <w:rFonts w:ascii="Arial" w:hAnsi="Arial" w:cs="Arial"/>
          <w:sz w:val="28"/>
          <w:szCs w:val="28"/>
        </w:rPr>
        <w:t>Capital expenditure is</w:t>
      </w:r>
      <w:r w:rsidRPr="003C10F9">
        <w:rPr>
          <w:rFonts w:ascii="Arial" w:hAnsi="Arial" w:cs="Arial"/>
          <w:sz w:val="28"/>
          <w:szCs w:val="28"/>
        </w:rPr>
        <w:t xml:space="preserve"> </w:t>
      </w:r>
      <w:r w:rsidRPr="00E54030">
        <w:rPr>
          <w:rFonts w:ascii="Arial" w:hAnsi="Arial" w:cs="Arial"/>
          <w:dstrike/>
          <w:sz w:val="28"/>
          <w:szCs w:val="28"/>
        </w:rPr>
        <w:t>N</w:t>
      </w:r>
      <w:r>
        <w:rPr>
          <w:rFonts w:ascii="Arial" w:hAnsi="Arial" w:cs="Arial"/>
          <w:sz w:val="28"/>
          <w:szCs w:val="28"/>
        </w:rPr>
        <w:t>34.784b which is represents 18.99% of total expenditure</w:t>
      </w:r>
      <w:r w:rsidRPr="003C10F9">
        <w:rPr>
          <w:rFonts w:ascii="Arial" w:hAnsi="Arial" w:cs="Arial"/>
          <w:sz w:val="28"/>
          <w:szCs w:val="28"/>
        </w:rPr>
        <w:t>.</w:t>
      </w:r>
    </w:p>
    <w:p w14:paraId="7EDAC0C9" w14:textId="77777777" w:rsidR="008F41CB" w:rsidRDefault="008F41CB" w:rsidP="008F41CB">
      <w:pPr>
        <w:pStyle w:val="ListParagraph"/>
        <w:numPr>
          <w:ilvl w:val="0"/>
          <w:numId w:val="8"/>
        </w:numPr>
        <w:spacing w:line="360" w:lineRule="auto"/>
        <w:jc w:val="both"/>
        <w:rPr>
          <w:rFonts w:ascii="Arial" w:hAnsi="Arial" w:cs="Arial"/>
          <w:sz w:val="28"/>
          <w:szCs w:val="28"/>
        </w:rPr>
      </w:pPr>
      <w:r>
        <w:rPr>
          <w:rFonts w:ascii="Arial" w:hAnsi="Arial" w:cs="Arial"/>
          <w:sz w:val="28"/>
          <w:szCs w:val="28"/>
        </w:rPr>
        <w:t xml:space="preserve">Personnel Cost is </w:t>
      </w:r>
      <w:r w:rsidRPr="00E54030">
        <w:rPr>
          <w:rFonts w:ascii="Arial" w:hAnsi="Arial" w:cs="Arial"/>
          <w:dstrike/>
          <w:sz w:val="28"/>
          <w:szCs w:val="28"/>
        </w:rPr>
        <w:t>N</w:t>
      </w:r>
      <w:r>
        <w:rPr>
          <w:rFonts w:ascii="Arial" w:hAnsi="Arial" w:cs="Arial"/>
          <w:sz w:val="28"/>
          <w:szCs w:val="28"/>
        </w:rPr>
        <w:t>51.646b which is 28.20% of total expenditure.</w:t>
      </w:r>
    </w:p>
    <w:p w14:paraId="2922D70E" w14:textId="77777777" w:rsidR="008F41CB" w:rsidRDefault="008F41CB" w:rsidP="008F41CB">
      <w:pPr>
        <w:pStyle w:val="ListParagraph"/>
        <w:numPr>
          <w:ilvl w:val="0"/>
          <w:numId w:val="8"/>
        </w:numPr>
        <w:spacing w:line="360" w:lineRule="auto"/>
        <w:jc w:val="both"/>
        <w:rPr>
          <w:rFonts w:ascii="Arial" w:hAnsi="Arial" w:cs="Arial"/>
          <w:sz w:val="28"/>
          <w:szCs w:val="28"/>
        </w:rPr>
      </w:pPr>
      <w:r>
        <w:rPr>
          <w:rFonts w:ascii="Arial" w:hAnsi="Arial" w:cs="Arial"/>
          <w:sz w:val="28"/>
          <w:szCs w:val="28"/>
        </w:rPr>
        <w:t xml:space="preserve">Overhead Cost is </w:t>
      </w:r>
      <w:r w:rsidRPr="00E54030">
        <w:rPr>
          <w:rFonts w:ascii="Arial" w:hAnsi="Arial" w:cs="Arial"/>
          <w:dstrike/>
          <w:sz w:val="28"/>
          <w:szCs w:val="28"/>
        </w:rPr>
        <w:t>N</w:t>
      </w:r>
      <w:r>
        <w:rPr>
          <w:rFonts w:ascii="Arial" w:hAnsi="Arial" w:cs="Arial"/>
          <w:sz w:val="28"/>
          <w:szCs w:val="28"/>
        </w:rPr>
        <w:t>30.071b which is 16.42% of total expenditure.</w:t>
      </w:r>
    </w:p>
    <w:p w14:paraId="38A10DA0" w14:textId="77777777" w:rsidR="008F41CB" w:rsidRDefault="008F41CB" w:rsidP="008F41CB">
      <w:pPr>
        <w:pStyle w:val="ListParagraph"/>
        <w:numPr>
          <w:ilvl w:val="0"/>
          <w:numId w:val="8"/>
        </w:numPr>
        <w:spacing w:line="360" w:lineRule="auto"/>
        <w:jc w:val="both"/>
        <w:rPr>
          <w:rFonts w:ascii="Arial" w:hAnsi="Arial" w:cs="Arial"/>
          <w:sz w:val="28"/>
          <w:szCs w:val="28"/>
        </w:rPr>
      </w:pPr>
      <w:r>
        <w:rPr>
          <w:rFonts w:ascii="Arial" w:hAnsi="Arial" w:cs="Arial"/>
          <w:sz w:val="28"/>
          <w:szCs w:val="28"/>
        </w:rPr>
        <w:t xml:space="preserve">Consolidated Revenue Fund Charge (CRFC) is </w:t>
      </w:r>
      <w:r w:rsidRPr="00E54030">
        <w:rPr>
          <w:rFonts w:ascii="Arial" w:hAnsi="Arial" w:cs="Arial"/>
          <w:dstrike/>
          <w:sz w:val="28"/>
          <w:szCs w:val="28"/>
        </w:rPr>
        <w:t>N</w:t>
      </w:r>
      <w:r>
        <w:rPr>
          <w:rFonts w:ascii="Arial" w:hAnsi="Arial" w:cs="Arial"/>
          <w:sz w:val="28"/>
          <w:szCs w:val="28"/>
        </w:rPr>
        <w:t>35.000b which is 19.11% of total expenditure.</w:t>
      </w:r>
    </w:p>
    <w:p w14:paraId="15948F4A" w14:textId="77777777" w:rsidR="008F41CB" w:rsidRDefault="008F41CB" w:rsidP="008F41CB">
      <w:pPr>
        <w:pStyle w:val="ListParagraph"/>
        <w:numPr>
          <w:ilvl w:val="0"/>
          <w:numId w:val="8"/>
        </w:numPr>
        <w:spacing w:line="360" w:lineRule="auto"/>
        <w:jc w:val="both"/>
        <w:rPr>
          <w:rFonts w:ascii="Arial" w:hAnsi="Arial" w:cs="Arial"/>
          <w:sz w:val="28"/>
          <w:szCs w:val="28"/>
        </w:rPr>
      </w:pPr>
      <w:r>
        <w:rPr>
          <w:rFonts w:ascii="Arial" w:hAnsi="Arial" w:cs="Arial"/>
          <w:sz w:val="28"/>
          <w:szCs w:val="28"/>
        </w:rPr>
        <w:t xml:space="preserve">Debt Services is </w:t>
      </w:r>
      <w:r w:rsidRPr="00E54030">
        <w:rPr>
          <w:rFonts w:ascii="Arial" w:hAnsi="Arial" w:cs="Arial"/>
          <w:dstrike/>
          <w:sz w:val="28"/>
          <w:szCs w:val="28"/>
        </w:rPr>
        <w:t>N</w:t>
      </w:r>
      <w:r>
        <w:rPr>
          <w:rFonts w:ascii="Arial" w:hAnsi="Arial" w:cs="Arial"/>
          <w:sz w:val="28"/>
          <w:szCs w:val="28"/>
        </w:rPr>
        <w:t>31.653b which is 17.28% of total expenditure.</w:t>
      </w:r>
    </w:p>
    <w:p w14:paraId="7F49CD64" w14:textId="77777777" w:rsidR="0049036D" w:rsidRDefault="008F41CB" w:rsidP="008F41CB">
      <w:pPr>
        <w:pStyle w:val="NoSpacing"/>
        <w:ind w:left="426"/>
        <w:jc w:val="both"/>
        <w:rPr>
          <w:sz w:val="36"/>
          <w:szCs w:val="36"/>
        </w:rPr>
      </w:pPr>
      <w:r>
        <w:rPr>
          <w:rFonts w:ascii="Arial" w:hAnsi="Arial" w:cs="Arial"/>
          <w:sz w:val="28"/>
          <w:szCs w:val="28"/>
        </w:rPr>
        <w:t xml:space="preserve">                             </w:t>
      </w:r>
      <w:r w:rsidR="00C31F04">
        <w:rPr>
          <w:noProof/>
        </w:rPr>
        <w:drawing>
          <wp:inline distT="0" distB="0" distL="0" distR="0" wp14:anchorId="56296B49" wp14:editId="0E05A744">
            <wp:extent cx="5000625" cy="2933700"/>
            <wp:effectExtent l="0" t="0" r="9525"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r>
        <w:rPr>
          <w:rFonts w:ascii="Arial" w:hAnsi="Arial" w:cs="Arial"/>
          <w:sz w:val="28"/>
          <w:szCs w:val="28"/>
        </w:rPr>
        <w:t xml:space="preserve">              </w:t>
      </w:r>
    </w:p>
    <w:p w14:paraId="4D59686B" w14:textId="77777777" w:rsidR="0049036D" w:rsidRDefault="008F41CB" w:rsidP="00991E00">
      <w:pPr>
        <w:pStyle w:val="NoSpacing"/>
        <w:ind w:left="426"/>
        <w:jc w:val="both"/>
        <w:rPr>
          <w:sz w:val="36"/>
          <w:szCs w:val="36"/>
        </w:rPr>
      </w:pPr>
      <w:r>
        <w:rPr>
          <w:sz w:val="36"/>
          <w:szCs w:val="36"/>
        </w:rPr>
        <w:t xml:space="preserve">           </w:t>
      </w:r>
    </w:p>
    <w:p w14:paraId="7A07AAB5" w14:textId="77777777" w:rsidR="0049036D" w:rsidRDefault="008F41CB" w:rsidP="00991E00">
      <w:pPr>
        <w:pStyle w:val="NoSpacing"/>
        <w:ind w:left="426"/>
        <w:jc w:val="both"/>
        <w:rPr>
          <w:sz w:val="36"/>
          <w:szCs w:val="36"/>
        </w:rPr>
      </w:pPr>
      <w:r>
        <w:rPr>
          <w:sz w:val="36"/>
          <w:szCs w:val="36"/>
        </w:rPr>
        <w:t xml:space="preserve">                        </w:t>
      </w:r>
    </w:p>
    <w:p w14:paraId="132CD9CB" w14:textId="77777777" w:rsidR="0049036D" w:rsidRDefault="0049036D" w:rsidP="00991E00">
      <w:pPr>
        <w:pStyle w:val="NoSpacing"/>
        <w:ind w:left="426"/>
        <w:jc w:val="both"/>
        <w:rPr>
          <w:sz w:val="36"/>
          <w:szCs w:val="36"/>
        </w:rPr>
      </w:pPr>
    </w:p>
    <w:p w14:paraId="3AABF3EC" w14:textId="77777777" w:rsidR="0049036D" w:rsidRDefault="0049036D" w:rsidP="00D10A61">
      <w:pPr>
        <w:pStyle w:val="NoSpacing"/>
        <w:jc w:val="both"/>
        <w:rPr>
          <w:sz w:val="36"/>
          <w:szCs w:val="36"/>
        </w:rPr>
      </w:pPr>
    </w:p>
    <w:p w14:paraId="71B980E5" w14:textId="77777777" w:rsidR="0049036D" w:rsidRDefault="0049036D" w:rsidP="00991E00">
      <w:pPr>
        <w:pStyle w:val="NoSpacing"/>
        <w:ind w:left="426"/>
        <w:jc w:val="both"/>
        <w:rPr>
          <w:sz w:val="36"/>
          <w:szCs w:val="36"/>
        </w:rPr>
      </w:pPr>
    </w:p>
    <w:p w14:paraId="7492BB10" w14:textId="77777777" w:rsidR="008D5EE5" w:rsidRDefault="008346DA" w:rsidP="00775172">
      <w:pPr>
        <w:pStyle w:val="NoSpacing"/>
        <w:jc w:val="both"/>
        <w:rPr>
          <w:sz w:val="36"/>
          <w:szCs w:val="36"/>
        </w:rPr>
      </w:pPr>
      <w:r>
        <w:rPr>
          <w:sz w:val="36"/>
          <w:szCs w:val="36"/>
        </w:rPr>
        <w:lastRenderedPageBreak/>
        <w:t xml:space="preserve">                         </w:t>
      </w:r>
      <w:r>
        <w:rPr>
          <w:noProof/>
        </w:rPr>
        <w:drawing>
          <wp:inline distT="0" distB="0" distL="0" distR="0" wp14:anchorId="09EE83B8" wp14:editId="1E3FDD2C">
            <wp:extent cx="5451525" cy="3419190"/>
            <wp:effectExtent l="0" t="0" r="15875" b="1016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C1F47FA" w14:textId="77777777" w:rsidR="008346DA" w:rsidRDefault="001554E1" w:rsidP="00775172">
      <w:pPr>
        <w:pStyle w:val="NoSpacing"/>
        <w:jc w:val="both"/>
        <w:rPr>
          <w:sz w:val="36"/>
          <w:szCs w:val="36"/>
        </w:rPr>
      </w:pPr>
      <w:r>
        <w:rPr>
          <w:sz w:val="36"/>
          <w:szCs w:val="36"/>
        </w:rPr>
        <w:t xml:space="preserve">                           </w:t>
      </w:r>
      <w:r>
        <w:rPr>
          <w:noProof/>
        </w:rPr>
        <w:drawing>
          <wp:inline distT="0" distB="0" distL="0" distR="0" wp14:anchorId="1314A4B9" wp14:editId="1A00087A">
            <wp:extent cx="5512320" cy="4381245"/>
            <wp:effectExtent l="0" t="0" r="12700" b="635"/>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71922B5" w14:textId="77777777" w:rsidR="008346DA" w:rsidRDefault="008346DA" w:rsidP="00775172">
      <w:pPr>
        <w:pStyle w:val="NoSpacing"/>
        <w:jc w:val="both"/>
        <w:rPr>
          <w:sz w:val="36"/>
          <w:szCs w:val="36"/>
        </w:rPr>
      </w:pPr>
    </w:p>
    <w:p w14:paraId="3A5527E9" w14:textId="77777777" w:rsidR="00D90E25" w:rsidRPr="007222E4" w:rsidRDefault="00D90E25" w:rsidP="007222E4">
      <w:pPr>
        <w:pStyle w:val="NoSpacing"/>
        <w:jc w:val="center"/>
        <w:rPr>
          <w:b/>
          <w:sz w:val="36"/>
          <w:szCs w:val="36"/>
        </w:rPr>
      </w:pPr>
      <w:r w:rsidRPr="007222E4">
        <w:rPr>
          <w:b/>
          <w:sz w:val="36"/>
          <w:szCs w:val="36"/>
        </w:rPr>
        <w:lastRenderedPageBreak/>
        <w:t>THE 2019 BUDGET PERFORMANCE</w:t>
      </w:r>
    </w:p>
    <w:p w14:paraId="6FE8EB49" w14:textId="77777777" w:rsidR="00D90E25" w:rsidRDefault="00D90E25" w:rsidP="007222E4">
      <w:pPr>
        <w:pStyle w:val="NoSpacing"/>
        <w:jc w:val="center"/>
        <w:rPr>
          <w:sz w:val="36"/>
          <w:szCs w:val="36"/>
        </w:rPr>
      </w:pPr>
      <w:r w:rsidRPr="007222E4">
        <w:rPr>
          <w:b/>
          <w:sz w:val="36"/>
          <w:szCs w:val="36"/>
        </w:rPr>
        <w:t>REVENUE PERFORMANCE</w:t>
      </w:r>
    </w:p>
    <w:p w14:paraId="559740F6" w14:textId="77777777" w:rsidR="00D90E25" w:rsidRPr="00FA3128" w:rsidRDefault="00D90E25" w:rsidP="00775172">
      <w:pPr>
        <w:pStyle w:val="NoSpacing"/>
        <w:jc w:val="both"/>
        <w:rPr>
          <w:sz w:val="28"/>
          <w:szCs w:val="28"/>
        </w:rPr>
      </w:pPr>
      <w:r w:rsidRPr="00FA3128">
        <w:rPr>
          <w:sz w:val="28"/>
          <w:szCs w:val="28"/>
        </w:rPr>
        <w:t xml:space="preserve">The 2019 Budget had a projected revenue of </w:t>
      </w:r>
      <w:r w:rsidRPr="007222E4">
        <w:rPr>
          <w:dstrike/>
          <w:sz w:val="28"/>
          <w:szCs w:val="28"/>
        </w:rPr>
        <w:t>N</w:t>
      </w:r>
      <w:proofErr w:type="gramStart"/>
      <w:r w:rsidRPr="00FA3128">
        <w:rPr>
          <w:sz w:val="28"/>
          <w:szCs w:val="28"/>
        </w:rPr>
        <w:t>299.</w:t>
      </w:r>
      <w:r w:rsidR="00FA3128" w:rsidRPr="00FA3128">
        <w:rPr>
          <w:sz w:val="28"/>
          <w:szCs w:val="28"/>
        </w:rPr>
        <w:t>836b.While</w:t>
      </w:r>
      <w:proofErr w:type="gramEnd"/>
      <w:r w:rsidR="00FA3128" w:rsidRPr="00FA3128">
        <w:rPr>
          <w:sz w:val="28"/>
          <w:szCs w:val="28"/>
        </w:rPr>
        <w:t xml:space="preserve"> actual money that came in was </w:t>
      </w:r>
      <w:r w:rsidR="007222E4" w:rsidRPr="007222E4">
        <w:rPr>
          <w:dstrike/>
          <w:sz w:val="28"/>
          <w:szCs w:val="28"/>
        </w:rPr>
        <w:t>N</w:t>
      </w:r>
      <w:r w:rsidR="00FA3128" w:rsidRPr="00FA3128">
        <w:rPr>
          <w:sz w:val="28"/>
          <w:szCs w:val="28"/>
        </w:rPr>
        <w:t>199.874b</w:t>
      </w:r>
      <w:r w:rsidR="00FA3128">
        <w:rPr>
          <w:sz w:val="28"/>
          <w:szCs w:val="28"/>
        </w:rPr>
        <w:t xml:space="preserve">. This means that the Budget performed below expectation by </w:t>
      </w:r>
      <w:r w:rsidR="007222E4" w:rsidRPr="007222E4">
        <w:rPr>
          <w:dstrike/>
          <w:sz w:val="28"/>
          <w:szCs w:val="28"/>
        </w:rPr>
        <w:t>N</w:t>
      </w:r>
      <w:r w:rsidR="00031477">
        <w:rPr>
          <w:sz w:val="28"/>
          <w:szCs w:val="28"/>
        </w:rPr>
        <w:t>99.962b</w:t>
      </w:r>
      <w:r w:rsidR="007222E4">
        <w:rPr>
          <w:sz w:val="28"/>
          <w:szCs w:val="28"/>
        </w:rPr>
        <w:t xml:space="preserve"> representing 20</w:t>
      </w:r>
      <w:r w:rsidR="00FA3128">
        <w:rPr>
          <w:sz w:val="28"/>
          <w:szCs w:val="28"/>
        </w:rPr>
        <w:t>% declin</w:t>
      </w:r>
      <w:r w:rsidR="00F76991">
        <w:rPr>
          <w:sz w:val="28"/>
          <w:szCs w:val="28"/>
        </w:rPr>
        <w:t>e. The fo</w:t>
      </w:r>
      <w:r w:rsidR="002B54AB">
        <w:rPr>
          <w:sz w:val="28"/>
          <w:szCs w:val="28"/>
        </w:rPr>
        <w:t xml:space="preserve">llowing Table </w:t>
      </w:r>
      <w:r w:rsidR="00FA3128">
        <w:rPr>
          <w:sz w:val="28"/>
          <w:szCs w:val="28"/>
        </w:rPr>
        <w:t>shows the various sources of Revenue and their actuals.</w:t>
      </w:r>
    </w:p>
    <w:p w14:paraId="26A3F782" w14:textId="77777777" w:rsidR="008346DA" w:rsidRDefault="008346DA" w:rsidP="00775172">
      <w:pPr>
        <w:pStyle w:val="NoSpacing"/>
        <w:jc w:val="both"/>
        <w:rPr>
          <w:sz w:val="36"/>
          <w:szCs w:val="36"/>
        </w:rPr>
      </w:pPr>
    </w:p>
    <w:bookmarkStart w:id="0" w:name="_MON_1659498506"/>
    <w:bookmarkEnd w:id="0"/>
    <w:p w14:paraId="7B5AFD68" w14:textId="77777777" w:rsidR="00FA3128" w:rsidRDefault="004E1850" w:rsidP="00775172">
      <w:pPr>
        <w:pStyle w:val="NoSpacing"/>
        <w:jc w:val="both"/>
        <w:rPr>
          <w:sz w:val="36"/>
          <w:szCs w:val="36"/>
        </w:rPr>
      </w:pPr>
      <w:r w:rsidRPr="00C23C0A">
        <w:rPr>
          <w:b/>
          <w:sz w:val="36"/>
          <w:szCs w:val="36"/>
        </w:rPr>
        <w:object w:dxaOrig="15185" w:dyaOrig="5066" w14:anchorId="0E51FDCD">
          <v:shape id="_x0000_i1026" type="#_x0000_t75" style="width:759pt;height:253.5pt" o:ole="">
            <v:imagedata r:id="rId15" o:title=""/>
          </v:shape>
          <o:OLEObject Type="Embed" ProgID="Excel.Sheet.12" ShapeID="_x0000_i1026" DrawAspect="Content" ObjectID="_1661179430" r:id="rId16"/>
        </w:object>
      </w:r>
    </w:p>
    <w:p w14:paraId="6CB86E0C" w14:textId="77777777" w:rsidR="008D5EE5" w:rsidRDefault="003955D1" w:rsidP="00E27618">
      <w:pPr>
        <w:pStyle w:val="NoSpacing"/>
        <w:jc w:val="both"/>
        <w:rPr>
          <w:sz w:val="36"/>
          <w:szCs w:val="36"/>
        </w:rPr>
      </w:pPr>
      <w:r>
        <w:rPr>
          <w:sz w:val="36"/>
          <w:szCs w:val="36"/>
        </w:rPr>
        <w:t xml:space="preserve">   </w:t>
      </w:r>
    </w:p>
    <w:p w14:paraId="7A62B885" w14:textId="77777777" w:rsidR="00114340" w:rsidRPr="00C23C0A" w:rsidRDefault="00114340" w:rsidP="00114340">
      <w:pPr>
        <w:pStyle w:val="NoSpacing"/>
        <w:rPr>
          <w:sz w:val="40"/>
          <w:szCs w:val="40"/>
        </w:rPr>
      </w:pPr>
      <w:r w:rsidRPr="00C23C0A">
        <w:rPr>
          <w:rFonts w:ascii="Algerian" w:hAnsi="Algerian"/>
          <w:b/>
          <w:color w:val="7030A0"/>
          <w:sz w:val="40"/>
          <w:szCs w:val="40"/>
        </w:rPr>
        <w:t>THE BUDGET PROC</w:t>
      </w:r>
      <w:r w:rsidR="000E0CB4">
        <w:rPr>
          <w:rFonts w:ascii="Algerian" w:hAnsi="Algerian"/>
          <w:b/>
          <w:color w:val="7030A0"/>
          <w:sz w:val="40"/>
          <w:szCs w:val="40"/>
        </w:rPr>
        <w:t>E</w:t>
      </w:r>
      <w:r w:rsidRPr="00C23C0A">
        <w:rPr>
          <w:rFonts w:ascii="Algerian" w:hAnsi="Algerian"/>
          <w:b/>
          <w:color w:val="7030A0"/>
          <w:sz w:val="40"/>
          <w:szCs w:val="40"/>
        </w:rPr>
        <w:t>SS</w:t>
      </w:r>
    </w:p>
    <w:p w14:paraId="384DB164" w14:textId="77777777" w:rsidR="00114340" w:rsidRPr="00BA1A3E" w:rsidRDefault="00114340" w:rsidP="00114340">
      <w:pPr>
        <w:pStyle w:val="NoSpacing"/>
        <w:jc w:val="both"/>
        <w:rPr>
          <w:sz w:val="14"/>
          <w:szCs w:val="24"/>
        </w:rPr>
      </w:pPr>
    </w:p>
    <w:p w14:paraId="179B1289" w14:textId="77777777" w:rsidR="00114340" w:rsidRDefault="00114340" w:rsidP="00114340">
      <w:pPr>
        <w:pStyle w:val="NoSpacing"/>
        <w:spacing w:line="276" w:lineRule="auto"/>
        <w:jc w:val="both"/>
        <w:rPr>
          <w:sz w:val="24"/>
          <w:szCs w:val="24"/>
        </w:rPr>
      </w:pPr>
      <w:r>
        <w:rPr>
          <w:sz w:val="24"/>
          <w:szCs w:val="24"/>
        </w:rPr>
        <w:t xml:space="preserve">The Bayelsa State Fiscal &amp; Transparency Law 2006 as amended in 2019 stipulates that </w:t>
      </w:r>
    </w:p>
    <w:p w14:paraId="3322D701" w14:textId="77777777" w:rsidR="00E27618" w:rsidRDefault="00114340" w:rsidP="00E27618">
      <w:pPr>
        <w:pStyle w:val="NoSpacing"/>
        <w:spacing w:line="276" w:lineRule="auto"/>
        <w:jc w:val="both"/>
        <w:rPr>
          <w:sz w:val="36"/>
          <w:szCs w:val="36"/>
        </w:rPr>
      </w:pPr>
      <w:r>
        <w:rPr>
          <w:sz w:val="24"/>
          <w:szCs w:val="24"/>
        </w:rPr>
        <w:t xml:space="preserve">before any money can be spent from the State’s coffers, there must be a budget. In compliance with this provision, the State Budget Office at the beginning of each financial year, and in collaboration with MDAs formulate and prepare the budget after due consultation with other governmental bodies and other relevant stakeholders. The proposed budget estimates are forwarded to Executive Council (EXCO), and then later presented to the State House of Assembly as a bill for passage into law. His Excellency, the Governor sign it to become the Appropriation Law. </w:t>
      </w:r>
      <w:r w:rsidRPr="008758C1">
        <w:rPr>
          <w:sz w:val="24"/>
          <w:szCs w:val="24"/>
        </w:rPr>
        <w:t>The</w:t>
      </w:r>
      <w:r>
        <w:rPr>
          <w:sz w:val="24"/>
          <w:szCs w:val="24"/>
        </w:rPr>
        <w:t xml:space="preserve"> following pictogram depicts the four major</w:t>
      </w:r>
      <w:r w:rsidRPr="008758C1">
        <w:rPr>
          <w:sz w:val="24"/>
          <w:szCs w:val="24"/>
        </w:rPr>
        <w:t xml:space="preserve"> </w:t>
      </w:r>
      <w:r>
        <w:rPr>
          <w:sz w:val="24"/>
          <w:szCs w:val="24"/>
        </w:rPr>
        <w:t>budget process.</w:t>
      </w:r>
      <w:r w:rsidR="00E27618">
        <w:rPr>
          <w:sz w:val="36"/>
          <w:szCs w:val="36"/>
        </w:rPr>
        <w:t xml:space="preserve"> </w:t>
      </w:r>
    </w:p>
    <w:p w14:paraId="5A9F14E8" w14:textId="77777777" w:rsidR="0049036D" w:rsidRDefault="00E27618" w:rsidP="00E27618">
      <w:pPr>
        <w:pStyle w:val="NoSpacing"/>
        <w:spacing w:line="276" w:lineRule="auto"/>
        <w:jc w:val="both"/>
        <w:rPr>
          <w:sz w:val="36"/>
          <w:szCs w:val="36"/>
        </w:rPr>
      </w:pPr>
      <w:r>
        <w:rPr>
          <w:sz w:val="36"/>
          <w:szCs w:val="36"/>
        </w:rPr>
        <w:lastRenderedPageBreak/>
        <w:t xml:space="preserve">                       </w:t>
      </w:r>
      <w:r w:rsidR="00355B75">
        <w:rPr>
          <w:noProof/>
          <w:sz w:val="24"/>
          <w:szCs w:val="24"/>
        </w:rPr>
        <w:drawing>
          <wp:inline distT="0" distB="0" distL="0" distR="0" wp14:anchorId="7A824DE7" wp14:editId="73F38C1A">
            <wp:extent cx="5486400" cy="3200400"/>
            <wp:effectExtent l="0" t="0" r="0" b="1905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14:paraId="23F1F66E" w14:textId="77777777" w:rsidR="00487A86" w:rsidRDefault="00487A86" w:rsidP="00487A86">
      <w:pPr>
        <w:pStyle w:val="ListParagraph"/>
        <w:numPr>
          <w:ilvl w:val="0"/>
          <w:numId w:val="2"/>
        </w:numPr>
        <w:jc w:val="both"/>
        <w:rPr>
          <w:sz w:val="24"/>
          <w:szCs w:val="24"/>
        </w:rPr>
      </w:pPr>
      <w:r w:rsidRPr="00F9576E">
        <w:rPr>
          <w:color w:val="5B9BD5" w:themeColor="accent1"/>
          <w:sz w:val="40"/>
          <w:szCs w:val="40"/>
        </w:rPr>
        <w:t>BUDGET FORMULATION</w:t>
      </w:r>
      <w:r>
        <w:rPr>
          <w:sz w:val="24"/>
          <w:szCs w:val="24"/>
        </w:rPr>
        <w:t xml:space="preserve">: The Executive by extension, the State Budget Office in collaboration with MDAs and Non-Governmental Bodies and other relevant stakeholders formulates the budget after various consultative meetings in the context of the </w:t>
      </w:r>
      <w:proofErr w:type="gramStart"/>
      <w:r>
        <w:rPr>
          <w:sz w:val="24"/>
          <w:szCs w:val="24"/>
        </w:rPr>
        <w:t>Medium Term</w:t>
      </w:r>
      <w:proofErr w:type="gramEnd"/>
      <w:r>
        <w:rPr>
          <w:sz w:val="24"/>
          <w:szCs w:val="24"/>
        </w:rPr>
        <w:t xml:space="preserve"> Expenditure Framework (MTEF). The estimates or proposal that emerges is forwarded to EXCO for its inputs and then sent to the State House of Assembly.</w:t>
      </w:r>
    </w:p>
    <w:p w14:paraId="14878DE4" w14:textId="77777777" w:rsidR="00487A86" w:rsidRDefault="00487A86" w:rsidP="00487A86">
      <w:pPr>
        <w:pStyle w:val="ListParagraph"/>
        <w:numPr>
          <w:ilvl w:val="0"/>
          <w:numId w:val="2"/>
        </w:numPr>
        <w:jc w:val="both"/>
        <w:rPr>
          <w:sz w:val="24"/>
          <w:szCs w:val="24"/>
        </w:rPr>
      </w:pPr>
      <w:r w:rsidRPr="00F9576E">
        <w:rPr>
          <w:b/>
          <w:color w:val="FF0000"/>
          <w:sz w:val="40"/>
          <w:szCs w:val="40"/>
        </w:rPr>
        <w:t>BUDGET APPROVAL</w:t>
      </w:r>
      <w:r>
        <w:rPr>
          <w:sz w:val="24"/>
          <w:szCs w:val="24"/>
        </w:rPr>
        <w:t xml:space="preserve">: The State House of Assembly reviews and amend the budget proposal and enact it into Appropriation Law, after being signed by His Excellency, the Governor.   </w:t>
      </w:r>
    </w:p>
    <w:p w14:paraId="2F5B1296" w14:textId="77777777" w:rsidR="00487A86" w:rsidRDefault="00487A86" w:rsidP="00487A86">
      <w:pPr>
        <w:pStyle w:val="ListParagraph"/>
        <w:numPr>
          <w:ilvl w:val="0"/>
          <w:numId w:val="2"/>
        </w:numPr>
        <w:jc w:val="both"/>
        <w:rPr>
          <w:sz w:val="24"/>
          <w:szCs w:val="24"/>
        </w:rPr>
      </w:pPr>
      <w:r w:rsidRPr="00F9576E">
        <w:rPr>
          <w:color w:val="5B9BD5" w:themeColor="accent1"/>
          <w:sz w:val="40"/>
          <w:szCs w:val="40"/>
        </w:rPr>
        <w:t>BUDGET EXECUTION</w:t>
      </w:r>
      <w:r>
        <w:rPr>
          <w:sz w:val="24"/>
          <w:szCs w:val="24"/>
        </w:rPr>
        <w:t>: The Executive collect revenue and spends as part of allocation made in the budget law at the beginning of the financial year.</w:t>
      </w:r>
    </w:p>
    <w:p w14:paraId="53E4C528" w14:textId="77777777" w:rsidR="00487A86" w:rsidRDefault="00487A86" w:rsidP="00487A86">
      <w:pPr>
        <w:pStyle w:val="ListParagraph"/>
        <w:numPr>
          <w:ilvl w:val="0"/>
          <w:numId w:val="2"/>
        </w:numPr>
        <w:jc w:val="both"/>
        <w:rPr>
          <w:sz w:val="24"/>
          <w:szCs w:val="24"/>
        </w:rPr>
      </w:pPr>
      <w:r w:rsidRPr="00F9576E">
        <w:rPr>
          <w:color w:val="92D050"/>
          <w:sz w:val="40"/>
          <w:szCs w:val="40"/>
        </w:rPr>
        <w:t>BUDGET OVERSIGHT</w:t>
      </w:r>
      <w:r>
        <w:rPr>
          <w:sz w:val="24"/>
          <w:szCs w:val="24"/>
        </w:rPr>
        <w:t>: The budget accounts are audited and audit findings reviewed, which requires actions to be taken by the executive to correct audit findings. This is done from the end of the first quarter, April 2020 and continues through the entire budget process.</w:t>
      </w:r>
    </w:p>
    <w:p w14:paraId="0A6C6002" w14:textId="77777777" w:rsidR="00E27618" w:rsidRPr="0080200F" w:rsidRDefault="00E27618" w:rsidP="0080200F">
      <w:pPr>
        <w:rPr>
          <w:sz w:val="24"/>
          <w:szCs w:val="24"/>
        </w:rPr>
      </w:pPr>
    </w:p>
    <w:p w14:paraId="7AABE359" w14:textId="77777777" w:rsidR="0080200F" w:rsidRPr="00144FA5" w:rsidRDefault="00255323" w:rsidP="00144FA5">
      <w:pPr>
        <w:pStyle w:val="ListParagraph"/>
        <w:jc w:val="center"/>
        <w:rPr>
          <w:rFonts w:ascii="Algerian" w:hAnsi="Algerian"/>
          <w:b/>
          <w:color w:val="C45911" w:themeColor="accent2" w:themeShade="BF"/>
          <w:sz w:val="40"/>
          <w:szCs w:val="40"/>
        </w:rPr>
      </w:pPr>
      <w:r w:rsidRPr="00F9576E">
        <w:rPr>
          <w:rFonts w:ascii="Algerian" w:hAnsi="Algerian"/>
          <w:b/>
          <w:color w:val="C45911" w:themeColor="accent2" w:themeShade="BF"/>
          <w:sz w:val="40"/>
          <w:szCs w:val="40"/>
        </w:rPr>
        <w:t>PRIORITIES IN ALLOCATION OF EXPEDITURE</w:t>
      </w:r>
    </w:p>
    <w:p w14:paraId="2F3DB722" w14:textId="77777777" w:rsidR="00E27618" w:rsidRDefault="00436BDC" w:rsidP="002C17BC">
      <w:pPr>
        <w:spacing w:after="0" w:line="240" w:lineRule="auto"/>
        <w:jc w:val="both"/>
        <w:rPr>
          <w:rFonts w:ascii="Times New Roman" w:eastAsia="Times New Roman" w:hAnsi="Times New Roman" w:cs="Times New Roman"/>
          <w:sz w:val="24"/>
          <w:szCs w:val="24"/>
        </w:rPr>
      </w:pPr>
      <w:r w:rsidRPr="00AD7FA2">
        <w:rPr>
          <w:rFonts w:ascii="Times New Roman" w:eastAsia="Times New Roman" w:hAnsi="Times New Roman" w:cs="Times New Roman"/>
          <w:sz w:val="24"/>
          <w:szCs w:val="24"/>
        </w:rPr>
        <w:t>Gover</w:t>
      </w:r>
      <w:r w:rsidR="00D42B28">
        <w:rPr>
          <w:rFonts w:ascii="Times New Roman" w:eastAsia="Times New Roman" w:hAnsi="Times New Roman" w:cs="Times New Roman"/>
          <w:sz w:val="24"/>
          <w:szCs w:val="24"/>
        </w:rPr>
        <w:t>nment priority</w:t>
      </w:r>
      <w:r>
        <w:rPr>
          <w:rFonts w:ascii="Times New Roman" w:eastAsia="Times New Roman" w:hAnsi="Times New Roman" w:cs="Times New Roman"/>
          <w:sz w:val="24"/>
          <w:szCs w:val="24"/>
        </w:rPr>
        <w:t xml:space="preserve"> in the medium term </w:t>
      </w:r>
      <w:r w:rsidR="00F516D8">
        <w:rPr>
          <w:rFonts w:ascii="Times New Roman" w:eastAsia="Times New Roman" w:hAnsi="Times New Roman" w:cs="Times New Roman"/>
          <w:sz w:val="24"/>
          <w:szCs w:val="24"/>
        </w:rPr>
        <w:t>as being revised to reflect the novel Covid-19 pandemic reali</w:t>
      </w:r>
      <w:r w:rsidR="00344A2E">
        <w:rPr>
          <w:rFonts w:ascii="Times New Roman" w:eastAsia="Times New Roman" w:hAnsi="Times New Roman" w:cs="Times New Roman"/>
          <w:sz w:val="24"/>
          <w:szCs w:val="24"/>
        </w:rPr>
        <w:t>ties is on</w:t>
      </w:r>
      <w:r w:rsidR="003A7A7B">
        <w:rPr>
          <w:rFonts w:ascii="Times New Roman" w:eastAsia="Times New Roman" w:hAnsi="Times New Roman" w:cs="Times New Roman"/>
          <w:sz w:val="24"/>
          <w:szCs w:val="24"/>
        </w:rPr>
        <w:t xml:space="preserve"> Agriculture,</w:t>
      </w:r>
      <w:r w:rsidR="00344A2E">
        <w:rPr>
          <w:rFonts w:ascii="Times New Roman" w:eastAsia="Times New Roman" w:hAnsi="Times New Roman" w:cs="Times New Roman"/>
          <w:sz w:val="24"/>
          <w:szCs w:val="24"/>
        </w:rPr>
        <w:t xml:space="preserve"> Health and Economic empowerment</w:t>
      </w:r>
      <w:r w:rsidR="009A238F">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00344A2E">
        <w:rPr>
          <w:rFonts w:ascii="Times New Roman" w:eastAsia="Times New Roman" w:hAnsi="Times New Roman" w:cs="Times New Roman"/>
          <w:sz w:val="24"/>
          <w:szCs w:val="24"/>
        </w:rPr>
        <w:t>targeted to cushion the effect</w:t>
      </w:r>
      <w:r w:rsidR="006B15D5">
        <w:rPr>
          <w:rFonts w:ascii="Times New Roman" w:eastAsia="Times New Roman" w:hAnsi="Times New Roman" w:cs="Times New Roman"/>
          <w:sz w:val="24"/>
          <w:szCs w:val="24"/>
        </w:rPr>
        <w:t xml:space="preserve"> </w:t>
      </w:r>
      <w:proofErr w:type="gramStart"/>
      <w:r w:rsidR="006B15D5">
        <w:rPr>
          <w:rFonts w:ascii="Times New Roman" w:eastAsia="Times New Roman" w:hAnsi="Times New Roman" w:cs="Times New Roman"/>
          <w:sz w:val="24"/>
          <w:szCs w:val="24"/>
        </w:rPr>
        <w:t>of</w:t>
      </w:r>
      <w:r w:rsidR="00536FDC">
        <w:rPr>
          <w:rFonts w:ascii="Times New Roman" w:eastAsia="Times New Roman" w:hAnsi="Times New Roman" w:cs="Times New Roman"/>
          <w:sz w:val="24"/>
          <w:szCs w:val="24"/>
        </w:rPr>
        <w:t xml:space="preserve"> </w:t>
      </w:r>
      <w:r w:rsidR="00344A2E">
        <w:rPr>
          <w:rFonts w:ascii="Times New Roman" w:eastAsia="Times New Roman" w:hAnsi="Times New Roman" w:cs="Times New Roman"/>
          <w:sz w:val="24"/>
          <w:szCs w:val="24"/>
        </w:rPr>
        <w:t xml:space="preserve"> Covid</w:t>
      </w:r>
      <w:proofErr w:type="gramEnd"/>
      <w:r w:rsidR="00344A2E">
        <w:rPr>
          <w:rFonts w:ascii="Times New Roman" w:eastAsia="Times New Roman" w:hAnsi="Times New Roman" w:cs="Times New Roman"/>
          <w:sz w:val="24"/>
          <w:szCs w:val="24"/>
        </w:rPr>
        <w:t>-19 Pandemic on the citizenry</w:t>
      </w:r>
      <w:r w:rsidR="004C1E40">
        <w:rPr>
          <w:rFonts w:ascii="Times New Roman" w:eastAsia="Times New Roman" w:hAnsi="Times New Roman" w:cs="Times New Roman"/>
          <w:sz w:val="24"/>
          <w:szCs w:val="24"/>
        </w:rPr>
        <w:t xml:space="preserve"> </w:t>
      </w:r>
      <w:r w:rsidR="00344A2E">
        <w:rPr>
          <w:rFonts w:ascii="Times New Roman" w:eastAsia="Times New Roman" w:hAnsi="Times New Roman" w:cs="Times New Roman"/>
          <w:sz w:val="24"/>
          <w:szCs w:val="24"/>
        </w:rPr>
        <w:t xml:space="preserve">as well as positioning the </w:t>
      </w:r>
      <w:r w:rsidR="00521D7C">
        <w:rPr>
          <w:rFonts w:ascii="Times New Roman" w:eastAsia="Times New Roman" w:hAnsi="Times New Roman" w:cs="Times New Roman"/>
          <w:sz w:val="24"/>
          <w:szCs w:val="24"/>
        </w:rPr>
        <w:t>State’s E</w:t>
      </w:r>
      <w:r w:rsidR="006B15D5">
        <w:rPr>
          <w:rFonts w:ascii="Times New Roman" w:eastAsia="Times New Roman" w:hAnsi="Times New Roman" w:cs="Times New Roman"/>
          <w:sz w:val="24"/>
          <w:szCs w:val="24"/>
        </w:rPr>
        <w:t>conomy for quick recovery and growth</w:t>
      </w:r>
      <w:r w:rsidR="004C1E40">
        <w:rPr>
          <w:rFonts w:ascii="Times New Roman" w:eastAsia="Times New Roman" w:hAnsi="Times New Roman" w:cs="Times New Roman"/>
          <w:sz w:val="24"/>
          <w:szCs w:val="24"/>
        </w:rPr>
        <w:t>. The State</w:t>
      </w:r>
      <w:r w:rsidR="006B15D5">
        <w:rPr>
          <w:rFonts w:ascii="Times New Roman" w:eastAsia="Times New Roman" w:hAnsi="Times New Roman" w:cs="Times New Roman"/>
          <w:sz w:val="24"/>
          <w:szCs w:val="24"/>
        </w:rPr>
        <w:t xml:space="preserve"> economy need urgent intervention and drastic </w:t>
      </w:r>
      <w:r w:rsidR="006B15D5">
        <w:rPr>
          <w:rFonts w:ascii="Times New Roman" w:eastAsia="Times New Roman" w:hAnsi="Times New Roman" w:cs="Times New Roman"/>
          <w:sz w:val="24"/>
          <w:szCs w:val="24"/>
        </w:rPr>
        <w:lastRenderedPageBreak/>
        <w:t>upgrading of existing health</w:t>
      </w:r>
      <w:r w:rsidR="009A238F">
        <w:rPr>
          <w:rFonts w:ascii="Times New Roman" w:eastAsia="Times New Roman" w:hAnsi="Times New Roman" w:cs="Times New Roman"/>
          <w:sz w:val="24"/>
          <w:szCs w:val="24"/>
        </w:rPr>
        <w:t xml:space="preserve"> care infrastructure, Agricultural intervention and SMEs</w:t>
      </w:r>
      <w:r w:rsidR="006B15D5">
        <w:rPr>
          <w:rFonts w:ascii="Times New Roman" w:eastAsia="Times New Roman" w:hAnsi="Times New Roman" w:cs="Times New Roman"/>
          <w:sz w:val="24"/>
          <w:szCs w:val="24"/>
        </w:rPr>
        <w:t xml:space="preserve"> to bring</w:t>
      </w:r>
      <w:r w:rsidR="004C1E40">
        <w:rPr>
          <w:rFonts w:ascii="Times New Roman" w:eastAsia="Times New Roman" w:hAnsi="Times New Roman" w:cs="Times New Roman"/>
          <w:sz w:val="24"/>
          <w:szCs w:val="24"/>
        </w:rPr>
        <w:t xml:space="preserve"> in</w:t>
      </w:r>
      <w:r w:rsidR="00247D64">
        <w:rPr>
          <w:rFonts w:ascii="Times New Roman" w:eastAsia="Times New Roman" w:hAnsi="Times New Roman" w:cs="Times New Roman"/>
          <w:sz w:val="24"/>
          <w:szCs w:val="24"/>
        </w:rPr>
        <w:t xml:space="preserve"> the</w:t>
      </w:r>
      <w:r w:rsidR="004C1E40">
        <w:rPr>
          <w:rFonts w:ascii="Times New Roman" w:eastAsia="Times New Roman" w:hAnsi="Times New Roman" w:cs="Times New Roman"/>
          <w:sz w:val="24"/>
          <w:szCs w:val="24"/>
        </w:rPr>
        <w:t xml:space="preserve"> </w:t>
      </w:r>
      <w:r w:rsidR="006B15D5">
        <w:rPr>
          <w:rFonts w:ascii="Times New Roman" w:eastAsia="Times New Roman" w:hAnsi="Times New Roman" w:cs="Times New Roman"/>
          <w:sz w:val="24"/>
          <w:szCs w:val="24"/>
        </w:rPr>
        <w:t>desir</w:t>
      </w:r>
      <w:r w:rsidR="00D42B28">
        <w:rPr>
          <w:rFonts w:ascii="Times New Roman" w:eastAsia="Times New Roman" w:hAnsi="Times New Roman" w:cs="Times New Roman"/>
          <w:sz w:val="24"/>
          <w:szCs w:val="24"/>
        </w:rPr>
        <w:t>ed economic turnaround</w:t>
      </w:r>
      <w:r>
        <w:rPr>
          <w:rFonts w:ascii="Times New Roman" w:eastAsia="Times New Roman" w:hAnsi="Times New Roman" w:cs="Times New Roman"/>
          <w:sz w:val="24"/>
          <w:szCs w:val="24"/>
        </w:rPr>
        <w:t>. This was identified through the var</w:t>
      </w:r>
      <w:r w:rsidR="004C1E40">
        <w:rPr>
          <w:rFonts w:ascii="Times New Roman" w:eastAsia="Times New Roman" w:hAnsi="Times New Roman" w:cs="Times New Roman"/>
          <w:sz w:val="24"/>
          <w:szCs w:val="24"/>
        </w:rPr>
        <w:t>ious</w:t>
      </w:r>
      <w:r w:rsidR="009A238F">
        <w:rPr>
          <w:rFonts w:ascii="Times New Roman" w:eastAsia="Times New Roman" w:hAnsi="Times New Roman" w:cs="Times New Roman"/>
          <w:sz w:val="24"/>
          <w:szCs w:val="24"/>
        </w:rPr>
        <w:t xml:space="preserve"> budget consultation processes</w:t>
      </w:r>
      <w:r w:rsidR="004C1E40">
        <w:rPr>
          <w:rFonts w:ascii="Times New Roman" w:eastAsia="Times New Roman" w:hAnsi="Times New Roman" w:cs="Times New Roman"/>
          <w:sz w:val="24"/>
          <w:szCs w:val="24"/>
        </w:rPr>
        <w:t>, and is</w:t>
      </w:r>
      <w:r>
        <w:rPr>
          <w:rFonts w:ascii="Times New Roman" w:eastAsia="Times New Roman" w:hAnsi="Times New Roman" w:cs="Times New Roman"/>
          <w:sz w:val="24"/>
          <w:szCs w:val="24"/>
        </w:rPr>
        <w:t xml:space="preserve"> evidence by Government massive</w:t>
      </w:r>
      <w:r w:rsidR="00D42B28">
        <w:rPr>
          <w:rFonts w:ascii="Times New Roman" w:eastAsia="Times New Roman" w:hAnsi="Times New Roman" w:cs="Times New Roman"/>
          <w:sz w:val="24"/>
          <w:szCs w:val="24"/>
        </w:rPr>
        <w:t xml:space="preserve"> intervention in the Economic and Social</w:t>
      </w:r>
      <w:r w:rsidR="004C1E40">
        <w:rPr>
          <w:rFonts w:ascii="Times New Roman" w:eastAsia="Times New Roman" w:hAnsi="Times New Roman" w:cs="Times New Roman"/>
          <w:sz w:val="24"/>
          <w:szCs w:val="24"/>
        </w:rPr>
        <w:t xml:space="preserve"> Sector</w:t>
      </w:r>
      <w:r>
        <w:rPr>
          <w:rFonts w:ascii="Times New Roman" w:eastAsia="Times New Roman" w:hAnsi="Times New Roman" w:cs="Times New Roman"/>
          <w:sz w:val="24"/>
          <w:szCs w:val="24"/>
        </w:rPr>
        <w:t>.</w:t>
      </w:r>
      <w:r w:rsidR="00BA7E03">
        <w:rPr>
          <w:rFonts w:ascii="Times New Roman" w:eastAsia="Times New Roman" w:hAnsi="Times New Roman" w:cs="Times New Roman"/>
          <w:sz w:val="24"/>
          <w:szCs w:val="24"/>
        </w:rPr>
        <w:t xml:space="preserve"> </w:t>
      </w:r>
      <w:r w:rsidR="00BA7E03" w:rsidRPr="00360C9B">
        <w:rPr>
          <w:rFonts w:ascii="Times New Roman" w:eastAsia="Times New Roman" w:hAnsi="Times New Roman" w:cs="Times New Roman"/>
          <w:sz w:val="24"/>
          <w:szCs w:val="24"/>
        </w:rPr>
        <w:t>The</w:t>
      </w:r>
      <w:r w:rsidR="00BA7E03">
        <w:rPr>
          <w:rFonts w:ascii="Times New Roman" w:eastAsia="Times New Roman" w:hAnsi="Times New Roman" w:cs="Times New Roman"/>
          <w:sz w:val="24"/>
          <w:szCs w:val="24"/>
        </w:rPr>
        <w:t xml:space="preserve"> Baye</w:t>
      </w:r>
      <w:r w:rsidR="00BC04C9">
        <w:rPr>
          <w:rFonts w:ascii="Times New Roman" w:eastAsia="Times New Roman" w:hAnsi="Times New Roman" w:cs="Times New Roman"/>
          <w:sz w:val="24"/>
          <w:szCs w:val="24"/>
        </w:rPr>
        <w:t>lsa State 2020 Covid-19 Responsive</w:t>
      </w:r>
      <w:r w:rsidR="00536FDC">
        <w:rPr>
          <w:rFonts w:ascii="Times New Roman" w:eastAsia="Times New Roman" w:hAnsi="Times New Roman" w:cs="Times New Roman"/>
          <w:sz w:val="24"/>
          <w:szCs w:val="24"/>
        </w:rPr>
        <w:t xml:space="preserve"> Citizens</w:t>
      </w:r>
      <w:r w:rsidR="00BC04C9">
        <w:rPr>
          <w:rFonts w:ascii="Times New Roman" w:eastAsia="Times New Roman" w:hAnsi="Times New Roman" w:cs="Times New Roman"/>
          <w:sz w:val="24"/>
          <w:szCs w:val="24"/>
        </w:rPr>
        <w:t xml:space="preserve"> Budget</w:t>
      </w:r>
      <w:r w:rsidR="00E74CDA">
        <w:rPr>
          <w:rFonts w:ascii="Times New Roman" w:eastAsia="Times New Roman" w:hAnsi="Times New Roman" w:cs="Times New Roman"/>
          <w:sz w:val="24"/>
          <w:szCs w:val="24"/>
        </w:rPr>
        <w:t xml:space="preserve"> Sectorial</w:t>
      </w:r>
      <w:r w:rsidR="00BA7E03">
        <w:rPr>
          <w:rFonts w:ascii="Times New Roman" w:eastAsia="Times New Roman" w:hAnsi="Times New Roman" w:cs="Times New Roman"/>
          <w:sz w:val="24"/>
          <w:szCs w:val="24"/>
        </w:rPr>
        <w:t xml:space="preserve"> allocation </w:t>
      </w:r>
      <w:r w:rsidR="00F17213">
        <w:rPr>
          <w:rFonts w:ascii="Times New Roman" w:eastAsia="Times New Roman" w:hAnsi="Times New Roman" w:cs="Times New Roman"/>
          <w:sz w:val="24"/>
          <w:szCs w:val="24"/>
        </w:rPr>
        <w:t xml:space="preserve">is </w:t>
      </w:r>
      <w:r w:rsidR="00BA7E03">
        <w:rPr>
          <w:rFonts w:ascii="Times New Roman" w:eastAsia="Times New Roman" w:hAnsi="Times New Roman" w:cs="Times New Roman"/>
          <w:sz w:val="24"/>
          <w:szCs w:val="24"/>
        </w:rPr>
        <w:t xml:space="preserve">shown below;  </w:t>
      </w:r>
      <w:r w:rsidR="00360C9B">
        <w:rPr>
          <w:rFonts w:ascii="Times New Roman" w:eastAsia="Times New Roman" w:hAnsi="Times New Roman" w:cs="Times New Roman"/>
          <w:sz w:val="24"/>
          <w:szCs w:val="24"/>
        </w:rPr>
        <w:t xml:space="preserve"> </w:t>
      </w:r>
      <w:r w:rsidR="00360C9B" w:rsidRPr="00360C9B">
        <w:rPr>
          <w:rFonts w:ascii="Times New Roman" w:eastAsia="Times New Roman" w:hAnsi="Times New Roman" w:cs="Times New Roman"/>
          <w:sz w:val="24"/>
          <w:szCs w:val="24"/>
        </w:rPr>
        <w:t xml:space="preserve"> </w:t>
      </w:r>
    </w:p>
    <w:p w14:paraId="6DA7591B" w14:textId="77777777" w:rsidR="002C17BC" w:rsidRPr="002C17BC" w:rsidRDefault="002C17BC" w:rsidP="002C17BC">
      <w:pPr>
        <w:spacing w:after="0" w:line="240" w:lineRule="auto"/>
        <w:jc w:val="both"/>
        <w:rPr>
          <w:rFonts w:ascii="Times New Roman" w:eastAsia="Times New Roman" w:hAnsi="Times New Roman" w:cs="Times New Roman"/>
          <w:sz w:val="24"/>
          <w:szCs w:val="24"/>
        </w:rPr>
      </w:pPr>
    </w:p>
    <w:tbl>
      <w:tblPr>
        <w:tblW w:w="11436" w:type="dxa"/>
        <w:tblInd w:w="-998" w:type="dxa"/>
        <w:tblLayout w:type="fixed"/>
        <w:tblLook w:val="04A0" w:firstRow="1" w:lastRow="0" w:firstColumn="1" w:lastColumn="0" w:noHBand="0" w:noVBand="1"/>
      </w:tblPr>
      <w:tblGrid>
        <w:gridCol w:w="709"/>
        <w:gridCol w:w="2127"/>
        <w:gridCol w:w="2052"/>
        <w:gridCol w:w="2174"/>
        <w:gridCol w:w="2174"/>
        <w:gridCol w:w="2200"/>
      </w:tblGrid>
      <w:tr w:rsidR="006D062C" w:rsidRPr="005319BD" w14:paraId="04BE9ACD" w14:textId="77777777" w:rsidTr="001153A1">
        <w:trPr>
          <w:trHeight w:val="360"/>
        </w:trPr>
        <w:tc>
          <w:tcPr>
            <w:tcW w:w="11436"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126522" w14:textId="77777777" w:rsidR="006D062C" w:rsidRPr="005319BD" w:rsidRDefault="00F516D8">
            <w:pPr>
              <w:jc w:val="center"/>
              <w:rPr>
                <w:rFonts w:ascii="Arial" w:hAnsi="Arial" w:cs="Arial"/>
                <w:color w:val="FF0000"/>
                <w:sz w:val="20"/>
                <w:szCs w:val="28"/>
              </w:rPr>
            </w:pPr>
            <w:r w:rsidRPr="005319BD">
              <w:rPr>
                <w:rFonts w:ascii="Arial" w:hAnsi="Arial" w:cs="Arial"/>
                <w:color w:val="FF0000"/>
                <w:sz w:val="20"/>
                <w:szCs w:val="28"/>
              </w:rPr>
              <w:t>2020 COVID-19 RESPONSIVE</w:t>
            </w:r>
            <w:r w:rsidR="00536FDC">
              <w:rPr>
                <w:rFonts w:ascii="Arial" w:hAnsi="Arial" w:cs="Arial"/>
                <w:color w:val="FF0000"/>
                <w:sz w:val="20"/>
                <w:szCs w:val="28"/>
              </w:rPr>
              <w:t xml:space="preserve"> CITIZENS</w:t>
            </w:r>
            <w:r w:rsidR="00337832" w:rsidRPr="005319BD">
              <w:rPr>
                <w:rFonts w:ascii="Arial" w:hAnsi="Arial" w:cs="Arial"/>
                <w:color w:val="FF0000"/>
                <w:sz w:val="20"/>
                <w:szCs w:val="28"/>
              </w:rPr>
              <w:t xml:space="preserve"> BUDGET </w:t>
            </w:r>
            <w:proofErr w:type="gramStart"/>
            <w:r w:rsidR="00337832" w:rsidRPr="005319BD">
              <w:rPr>
                <w:rFonts w:ascii="Arial" w:hAnsi="Arial" w:cs="Arial"/>
                <w:color w:val="FF0000"/>
                <w:sz w:val="20"/>
                <w:szCs w:val="28"/>
              </w:rPr>
              <w:t xml:space="preserve">SECTORIAL </w:t>
            </w:r>
            <w:r w:rsidR="006D062C" w:rsidRPr="005319BD">
              <w:rPr>
                <w:rFonts w:ascii="Arial" w:hAnsi="Arial" w:cs="Arial"/>
                <w:color w:val="FF0000"/>
                <w:sz w:val="20"/>
                <w:szCs w:val="28"/>
              </w:rPr>
              <w:t xml:space="preserve"> ALLOCATION</w:t>
            </w:r>
            <w:proofErr w:type="gramEnd"/>
          </w:p>
        </w:tc>
      </w:tr>
      <w:tr w:rsidR="006D062C" w:rsidRPr="005319BD" w14:paraId="2C94081D" w14:textId="77777777" w:rsidTr="001153A1">
        <w:trPr>
          <w:trHeight w:val="315"/>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14:paraId="1F456EF6" w14:textId="77777777" w:rsidR="006D062C" w:rsidRPr="005319BD" w:rsidRDefault="006D062C" w:rsidP="00531072">
            <w:pPr>
              <w:jc w:val="center"/>
              <w:rPr>
                <w:rFonts w:ascii="Arial" w:hAnsi="Arial" w:cs="Arial"/>
                <w:b/>
                <w:bCs/>
                <w:color w:val="000000"/>
                <w:sz w:val="20"/>
                <w:szCs w:val="24"/>
              </w:rPr>
            </w:pPr>
          </w:p>
        </w:tc>
        <w:tc>
          <w:tcPr>
            <w:tcW w:w="2127" w:type="dxa"/>
            <w:tcBorders>
              <w:top w:val="nil"/>
              <w:left w:val="nil"/>
              <w:bottom w:val="single" w:sz="4" w:space="0" w:color="auto"/>
              <w:right w:val="single" w:sz="4" w:space="0" w:color="auto"/>
            </w:tcBorders>
            <w:shd w:val="clear" w:color="auto" w:fill="auto"/>
            <w:noWrap/>
            <w:vAlign w:val="bottom"/>
            <w:hideMark/>
          </w:tcPr>
          <w:p w14:paraId="45BE8798" w14:textId="77777777" w:rsidR="006D062C" w:rsidRPr="005319BD" w:rsidRDefault="006D062C" w:rsidP="00531072">
            <w:pPr>
              <w:jc w:val="center"/>
              <w:rPr>
                <w:rFonts w:ascii="Arial" w:hAnsi="Arial" w:cs="Arial"/>
                <w:b/>
                <w:bCs/>
                <w:color w:val="000000"/>
                <w:sz w:val="20"/>
                <w:szCs w:val="20"/>
              </w:rPr>
            </w:pPr>
            <w:r w:rsidRPr="005319BD">
              <w:rPr>
                <w:rFonts w:ascii="Arial" w:hAnsi="Arial" w:cs="Arial"/>
                <w:b/>
                <w:bCs/>
                <w:color w:val="000000"/>
                <w:sz w:val="20"/>
                <w:szCs w:val="20"/>
              </w:rPr>
              <w:t>PERSONNEL COST</w:t>
            </w:r>
          </w:p>
        </w:tc>
        <w:tc>
          <w:tcPr>
            <w:tcW w:w="2052" w:type="dxa"/>
            <w:tcBorders>
              <w:top w:val="nil"/>
              <w:left w:val="nil"/>
              <w:bottom w:val="single" w:sz="4" w:space="0" w:color="auto"/>
              <w:right w:val="single" w:sz="4" w:space="0" w:color="auto"/>
            </w:tcBorders>
            <w:shd w:val="clear" w:color="auto" w:fill="auto"/>
            <w:noWrap/>
            <w:vAlign w:val="bottom"/>
            <w:hideMark/>
          </w:tcPr>
          <w:p w14:paraId="39649CD9" w14:textId="77777777" w:rsidR="006D062C" w:rsidRPr="005319BD" w:rsidRDefault="006D062C" w:rsidP="00531072">
            <w:pPr>
              <w:jc w:val="center"/>
              <w:rPr>
                <w:rFonts w:ascii="Arial" w:hAnsi="Arial" w:cs="Arial"/>
                <w:b/>
                <w:bCs/>
                <w:color w:val="000000"/>
                <w:sz w:val="20"/>
                <w:szCs w:val="20"/>
              </w:rPr>
            </w:pPr>
            <w:r w:rsidRPr="005319BD">
              <w:rPr>
                <w:rFonts w:ascii="Arial" w:hAnsi="Arial" w:cs="Arial"/>
                <w:b/>
                <w:bCs/>
                <w:color w:val="000000"/>
                <w:sz w:val="20"/>
                <w:szCs w:val="20"/>
              </w:rPr>
              <w:t>OVERHEAD COST</w:t>
            </w:r>
          </w:p>
        </w:tc>
        <w:tc>
          <w:tcPr>
            <w:tcW w:w="2174" w:type="dxa"/>
            <w:tcBorders>
              <w:top w:val="nil"/>
              <w:left w:val="nil"/>
              <w:bottom w:val="single" w:sz="4" w:space="0" w:color="auto"/>
              <w:right w:val="single" w:sz="4" w:space="0" w:color="auto"/>
            </w:tcBorders>
            <w:shd w:val="clear" w:color="auto" w:fill="auto"/>
            <w:noWrap/>
            <w:vAlign w:val="bottom"/>
            <w:hideMark/>
          </w:tcPr>
          <w:p w14:paraId="63E2075F" w14:textId="77777777" w:rsidR="006D062C" w:rsidRPr="005319BD" w:rsidRDefault="006D062C" w:rsidP="00531072">
            <w:pPr>
              <w:jc w:val="center"/>
              <w:rPr>
                <w:rFonts w:ascii="Arial" w:hAnsi="Arial" w:cs="Arial"/>
                <w:b/>
                <w:bCs/>
                <w:color w:val="000000"/>
                <w:sz w:val="20"/>
                <w:szCs w:val="20"/>
              </w:rPr>
            </w:pPr>
            <w:r w:rsidRPr="005319BD">
              <w:rPr>
                <w:rFonts w:ascii="Arial" w:hAnsi="Arial" w:cs="Arial"/>
                <w:b/>
                <w:bCs/>
                <w:color w:val="000000"/>
                <w:sz w:val="20"/>
                <w:szCs w:val="20"/>
              </w:rPr>
              <w:t>RECURRENT COST</w:t>
            </w:r>
          </w:p>
        </w:tc>
        <w:tc>
          <w:tcPr>
            <w:tcW w:w="2174" w:type="dxa"/>
            <w:tcBorders>
              <w:top w:val="nil"/>
              <w:left w:val="nil"/>
              <w:bottom w:val="single" w:sz="4" w:space="0" w:color="auto"/>
              <w:right w:val="single" w:sz="4" w:space="0" w:color="auto"/>
            </w:tcBorders>
            <w:shd w:val="clear" w:color="auto" w:fill="auto"/>
            <w:noWrap/>
            <w:vAlign w:val="bottom"/>
            <w:hideMark/>
          </w:tcPr>
          <w:p w14:paraId="7141BFD8" w14:textId="77777777" w:rsidR="006D062C" w:rsidRPr="005319BD" w:rsidRDefault="006D062C" w:rsidP="00531072">
            <w:pPr>
              <w:jc w:val="center"/>
              <w:rPr>
                <w:rFonts w:ascii="Arial" w:hAnsi="Arial" w:cs="Arial"/>
                <w:b/>
                <w:bCs/>
                <w:color w:val="000000"/>
                <w:sz w:val="20"/>
                <w:szCs w:val="20"/>
              </w:rPr>
            </w:pPr>
            <w:r w:rsidRPr="005319BD">
              <w:rPr>
                <w:rFonts w:ascii="Arial" w:hAnsi="Arial" w:cs="Arial"/>
                <w:b/>
                <w:bCs/>
                <w:color w:val="000000"/>
                <w:sz w:val="20"/>
                <w:szCs w:val="20"/>
              </w:rPr>
              <w:t>CAPITAL COST</w:t>
            </w:r>
          </w:p>
        </w:tc>
        <w:tc>
          <w:tcPr>
            <w:tcW w:w="2200" w:type="dxa"/>
            <w:tcBorders>
              <w:top w:val="nil"/>
              <w:left w:val="nil"/>
              <w:bottom w:val="single" w:sz="4" w:space="0" w:color="auto"/>
              <w:right w:val="single" w:sz="4" w:space="0" w:color="auto"/>
            </w:tcBorders>
            <w:shd w:val="clear" w:color="auto" w:fill="auto"/>
            <w:noWrap/>
            <w:vAlign w:val="bottom"/>
            <w:hideMark/>
          </w:tcPr>
          <w:p w14:paraId="0269B6BC" w14:textId="77777777" w:rsidR="006D062C" w:rsidRPr="005319BD" w:rsidRDefault="006D062C" w:rsidP="00531072">
            <w:pPr>
              <w:jc w:val="center"/>
              <w:rPr>
                <w:rFonts w:ascii="Arial" w:hAnsi="Arial" w:cs="Arial"/>
                <w:b/>
                <w:bCs/>
                <w:color w:val="000000"/>
                <w:sz w:val="20"/>
                <w:szCs w:val="20"/>
              </w:rPr>
            </w:pPr>
            <w:r w:rsidRPr="005319BD">
              <w:rPr>
                <w:rFonts w:ascii="Arial" w:hAnsi="Arial" w:cs="Arial"/>
                <w:b/>
                <w:bCs/>
                <w:color w:val="000000"/>
                <w:sz w:val="20"/>
                <w:szCs w:val="20"/>
              </w:rPr>
              <w:t>TOTAL EXPENDITURE</w:t>
            </w:r>
          </w:p>
        </w:tc>
      </w:tr>
      <w:tr w:rsidR="006D062C" w:rsidRPr="005319BD" w14:paraId="0F798C51" w14:textId="77777777" w:rsidTr="001153A1">
        <w:trPr>
          <w:cantSplit/>
          <w:trHeight w:val="2062"/>
        </w:trPr>
        <w:tc>
          <w:tcPr>
            <w:tcW w:w="709" w:type="dxa"/>
            <w:tcBorders>
              <w:top w:val="nil"/>
              <w:left w:val="single" w:sz="4" w:space="0" w:color="auto"/>
              <w:bottom w:val="single" w:sz="4" w:space="0" w:color="auto"/>
              <w:right w:val="single" w:sz="4" w:space="0" w:color="auto"/>
            </w:tcBorders>
            <w:shd w:val="clear" w:color="auto" w:fill="auto"/>
            <w:textDirection w:val="btLr"/>
            <w:vAlign w:val="bottom"/>
            <w:hideMark/>
          </w:tcPr>
          <w:p w14:paraId="460814C2" w14:textId="77777777" w:rsidR="006D062C" w:rsidRPr="00E27618" w:rsidRDefault="006D062C" w:rsidP="005319BD">
            <w:pPr>
              <w:ind w:left="113" w:right="113"/>
              <w:jc w:val="center"/>
              <w:rPr>
                <w:rFonts w:ascii="Arial" w:hAnsi="Arial" w:cs="Arial"/>
                <w:color w:val="92D050"/>
                <w:sz w:val="24"/>
                <w:szCs w:val="24"/>
              </w:rPr>
            </w:pPr>
            <w:r w:rsidRPr="00E27618">
              <w:rPr>
                <w:rFonts w:ascii="Arial" w:hAnsi="Arial" w:cs="Arial"/>
                <w:color w:val="92D050"/>
                <w:sz w:val="24"/>
                <w:szCs w:val="24"/>
              </w:rPr>
              <w:t>ADMINISTRATIVE SECTOR</w:t>
            </w:r>
          </w:p>
        </w:tc>
        <w:tc>
          <w:tcPr>
            <w:tcW w:w="2127" w:type="dxa"/>
            <w:tcBorders>
              <w:top w:val="nil"/>
              <w:left w:val="nil"/>
              <w:bottom w:val="single" w:sz="4" w:space="0" w:color="auto"/>
              <w:right w:val="single" w:sz="4" w:space="0" w:color="auto"/>
            </w:tcBorders>
            <w:shd w:val="clear" w:color="auto" w:fill="auto"/>
            <w:noWrap/>
            <w:vAlign w:val="bottom"/>
            <w:hideMark/>
          </w:tcPr>
          <w:p w14:paraId="3F112740" w14:textId="77777777" w:rsidR="006D062C" w:rsidRPr="005319BD" w:rsidRDefault="00557892">
            <w:pPr>
              <w:rPr>
                <w:rFonts w:ascii="Arial" w:hAnsi="Arial" w:cs="Arial"/>
                <w:color w:val="000000"/>
                <w:sz w:val="20"/>
              </w:rPr>
            </w:pPr>
            <w:r w:rsidRPr="005319BD">
              <w:rPr>
                <w:rFonts w:ascii="Arial" w:hAnsi="Arial" w:cs="Arial"/>
                <w:color w:val="000000"/>
                <w:sz w:val="20"/>
              </w:rPr>
              <w:t xml:space="preserve">   </w:t>
            </w:r>
            <w:r w:rsidR="00235E79">
              <w:rPr>
                <w:rFonts w:ascii="Arial" w:hAnsi="Arial" w:cs="Arial"/>
                <w:color w:val="000000"/>
                <w:sz w:val="20"/>
              </w:rPr>
              <w:t>12,841,266,613.00</w:t>
            </w:r>
            <w:r w:rsidRPr="005319BD">
              <w:rPr>
                <w:rFonts w:ascii="Arial" w:hAnsi="Arial" w:cs="Arial"/>
                <w:color w:val="000000"/>
                <w:sz w:val="20"/>
              </w:rPr>
              <w:t xml:space="preserve">  </w:t>
            </w:r>
            <w:r w:rsidR="006D062C" w:rsidRPr="005319BD">
              <w:rPr>
                <w:rFonts w:ascii="Arial" w:hAnsi="Arial" w:cs="Arial"/>
                <w:color w:val="000000"/>
                <w:sz w:val="20"/>
              </w:rPr>
              <w:t xml:space="preserve"> </w:t>
            </w:r>
          </w:p>
        </w:tc>
        <w:tc>
          <w:tcPr>
            <w:tcW w:w="2052" w:type="dxa"/>
            <w:tcBorders>
              <w:top w:val="nil"/>
              <w:left w:val="nil"/>
              <w:bottom w:val="single" w:sz="4" w:space="0" w:color="auto"/>
              <w:right w:val="single" w:sz="4" w:space="0" w:color="auto"/>
            </w:tcBorders>
            <w:shd w:val="clear" w:color="auto" w:fill="auto"/>
            <w:noWrap/>
            <w:vAlign w:val="bottom"/>
            <w:hideMark/>
          </w:tcPr>
          <w:p w14:paraId="101B94C0" w14:textId="77777777" w:rsidR="006D062C" w:rsidRPr="005319BD" w:rsidRDefault="00235E79">
            <w:pPr>
              <w:rPr>
                <w:rFonts w:ascii="Arial" w:hAnsi="Arial" w:cs="Arial"/>
                <w:color w:val="000000"/>
                <w:sz w:val="20"/>
              </w:rPr>
            </w:pPr>
            <w:r>
              <w:rPr>
                <w:rFonts w:ascii="Arial" w:hAnsi="Arial" w:cs="Arial"/>
                <w:color w:val="000000"/>
                <w:sz w:val="20"/>
              </w:rPr>
              <w:t xml:space="preserve">  18,622,714,893.00</w:t>
            </w:r>
            <w:r w:rsidR="006D062C" w:rsidRPr="005319BD">
              <w:rPr>
                <w:rFonts w:ascii="Arial" w:hAnsi="Arial" w:cs="Arial"/>
                <w:color w:val="000000"/>
                <w:sz w:val="20"/>
              </w:rPr>
              <w:t xml:space="preserve"> </w:t>
            </w:r>
          </w:p>
        </w:tc>
        <w:tc>
          <w:tcPr>
            <w:tcW w:w="2174" w:type="dxa"/>
            <w:tcBorders>
              <w:top w:val="nil"/>
              <w:left w:val="nil"/>
              <w:bottom w:val="single" w:sz="4" w:space="0" w:color="auto"/>
              <w:right w:val="single" w:sz="4" w:space="0" w:color="auto"/>
            </w:tcBorders>
            <w:shd w:val="clear" w:color="auto" w:fill="auto"/>
            <w:noWrap/>
            <w:vAlign w:val="bottom"/>
            <w:hideMark/>
          </w:tcPr>
          <w:p w14:paraId="0D263CB4" w14:textId="77777777" w:rsidR="006D062C" w:rsidRPr="005319BD" w:rsidRDefault="00DC66C1">
            <w:pPr>
              <w:rPr>
                <w:rFonts w:ascii="Arial" w:hAnsi="Arial" w:cs="Arial"/>
                <w:color w:val="000000"/>
                <w:sz w:val="20"/>
              </w:rPr>
            </w:pPr>
            <w:r w:rsidRPr="005319BD">
              <w:rPr>
                <w:rFonts w:ascii="Arial" w:hAnsi="Arial" w:cs="Arial"/>
                <w:color w:val="000000"/>
                <w:sz w:val="20"/>
              </w:rPr>
              <w:t xml:space="preserve">     30,973,561,627.64</w:t>
            </w:r>
            <w:r w:rsidR="006D062C" w:rsidRPr="005319BD">
              <w:rPr>
                <w:rFonts w:ascii="Arial" w:hAnsi="Arial" w:cs="Arial"/>
                <w:color w:val="000000"/>
                <w:sz w:val="20"/>
              </w:rPr>
              <w:t xml:space="preserve"> </w:t>
            </w:r>
          </w:p>
        </w:tc>
        <w:tc>
          <w:tcPr>
            <w:tcW w:w="2174" w:type="dxa"/>
            <w:tcBorders>
              <w:top w:val="nil"/>
              <w:left w:val="nil"/>
              <w:bottom w:val="single" w:sz="4" w:space="0" w:color="auto"/>
              <w:right w:val="single" w:sz="4" w:space="0" w:color="auto"/>
            </w:tcBorders>
            <w:shd w:val="clear" w:color="auto" w:fill="auto"/>
            <w:noWrap/>
            <w:vAlign w:val="bottom"/>
            <w:hideMark/>
          </w:tcPr>
          <w:p w14:paraId="0EF38CA7" w14:textId="77777777" w:rsidR="006D062C" w:rsidRPr="005319BD" w:rsidRDefault="004B3473">
            <w:pPr>
              <w:rPr>
                <w:rFonts w:ascii="Arial" w:hAnsi="Arial" w:cs="Arial"/>
                <w:color w:val="000000"/>
                <w:sz w:val="20"/>
              </w:rPr>
            </w:pPr>
            <w:r w:rsidRPr="005319BD">
              <w:rPr>
                <w:rFonts w:ascii="Arial" w:hAnsi="Arial" w:cs="Arial"/>
                <w:color w:val="000000"/>
                <w:sz w:val="20"/>
              </w:rPr>
              <w:t xml:space="preserve">    2,788</w:t>
            </w:r>
            <w:r w:rsidR="00DB755B" w:rsidRPr="005319BD">
              <w:rPr>
                <w:rFonts w:ascii="Arial" w:hAnsi="Arial" w:cs="Arial"/>
                <w:color w:val="000000"/>
                <w:sz w:val="20"/>
              </w:rPr>
              <w:t>,907,226.36</w:t>
            </w:r>
            <w:r w:rsidR="006D062C" w:rsidRPr="005319BD">
              <w:rPr>
                <w:rFonts w:ascii="Arial" w:hAnsi="Arial" w:cs="Arial"/>
                <w:color w:val="000000"/>
                <w:sz w:val="20"/>
              </w:rPr>
              <w:t xml:space="preserve"> </w:t>
            </w:r>
          </w:p>
        </w:tc>
        <w:tc>
          <w:tcPr>
            <w:tcW w:w="2200" w:type="dxa"/>
            <w:tcBorders>
              <w:top w:val="nil"/>
              <w:left w:val="nil"/>
              <w:bottom w:val="single" w:sz="4" w:space="0" w:color="auto"/>
              <w:right w:val="single" w:sz="4" w:space="0" w:color="auto"/>
            </w:tcBorders>
            <w:shd w:val="clear" w:color="auto" w:fill="auto"/>
            <w:noWrap/>
            <w:vAlign w:val="bottom"/>
            <w:hideMark/>
          </w:tcPr>
          <w:p w14:paraId="30678C2E" w14:textId="77777777" w:rsidR="006D062C" w:rsidRPr="005319BD" w:rsidRDefault="00557892">
            <w:pPr>
              <w:rPr>
                <w:rFonts w:ascii="Arial" w:hAnsi="Arial" w:cs="Arial"/>
                <w:b/>
                <w:bCs/>
                <w:color w:val="000000" w:themeColor="text1"/>
                <w:sz w:val="20"/>
              </w:rPr>
            </w:pPr>
            <w:r w:rsidRPr="005319BD">
              <w:rPr>
                <w:rFonts w:ascii="Arial" w:hAnsi="Arial" w:cs="Arial"/>
                <w:b/>
                <w:bCs/>
                <w:color w:val="000000" w:themeColor="text1"/>
                <w:sz w:val="20"/>
              </w:rPr>
              <w:t xml:space="preserve">  </w:t>
            </w:r>
            <w:r w:rsidR="00824C88">
              <w:rPr>
                <w:rFonts w:ascii="Arial" w:hAnsi="Arial" w:cs="Arial"/>
                <w:b/>
                <w:bCs/>
                <w:color w:val="000000" w:themeColor="text1"/>
                <w:sz w:val="20"/>
              </w:rPr>
              <w:t>65,226,450,359.90</w:t>
            </w:r>
            <w:r w:rsidRPr="005319BD">
              <w:rPr>
                <w:rFonts w:ascii="Arial" w:hAnsi="Arial" w:cs="Arial"/>
                <w:b/>
                <w:bCs/>
                <w:color w:val="000000" w:themeColor="text1"/>
                <w:sz w:val="20"/>
              </w:rPr>
              <w:t xml:space="preserve"> </w:t>
            </w:r>
            <w:r w:rsidR="006D062C" w:rsidRPr="005319BD">
              <w:rPr>
                <w:rFonts w:ascii="Arial" w:hAnsi="Arial" w:cs="Arial"/>
                <w:b/>
                <w:bCs/>
                <w:color w:val="000000" w:themeColor="text1"/>
                <w:sz w:val="20"/>
              </w:rPr>
              <w:t xml:space="preserve"> </w:t>
            </w:r>
          </w:p>
        </w:tc>
      </w:tr>
      <w:tr w:rsidR="006D062C" w:rsidRPr="005319BD" w14:paraId="5211A6FD" w14:textId="77777777" w:rsidTr="001153A1">
        <w:trPr>
          <w:cantSplit/>
          <w:trHeight w:val="1567"/>
        </w:trPr>
        <w:tc>
          <w:tcPr>
            <w:tcW w:w="709" w:type="dxa"/>
            <w:tcBorders>
              <w:top w:val="nil"/>
              <w:left w:val="single" w:sz="4" w:space="0" w:color="auto"/>
              <w:bottom w:val="single" w:sz="4" w:space="0" w:color="auto"/>
              <w:right w:val="single" w:sz="4" w:space="0" w:color="auto"/>
            </w:tcBorders>
            <w:shd w:val="clear" w:color="auto" w:fill="auto"/>
            <w:textDirection w:val="btLr"/>
            <w:vAlign w:val="bottom"/>
            <w:hideMark/>
          </w:tcPr>
          <w:p w14:paraId="4508BD77" w14:textId="77777777" w:rsidR="006D062C" w:rsidRPr="00E27618" w:rsidRDefault="006D062C" w:rsidP="005319BD">
            <w:pPr>
              <w:ind w:left="113" w:right="113"/>
              <w:jc w:val="center"/>
              <w:rPr>
                <w:rFonts w:ascii="Arial" w:hAnsi="Arial" w:cs="Arial"/>
                <w:color w:val="4472C4"/>
                <w:sz w:val="24"/>
                <w:szCs w:val="24"/>
              </w:rPr>
            </w:pPr>
            <w:r w:rsidRPr="00E27618">
              <w:rPr>
                <w:rFonts w:ascii="Arial" w:hAnsi="Arial" w:cs="Arial"/>
                <w:color w:val="4472C4"/>
                <w:sz w:val="24"/>
                <w:szCs w:val="24"/>
              </w:rPr>
              <w:t>ECONOMIC SECTOR</w:t>
            </w:r>
          </w:p>
        </w:tc>
        <w:tc>
          <w:tcPr>
            <w:tcW w:w="2127" w:type="dxa"/>
            <w:tcBorders>
              <w:top w:val="nil"/>
              <w:left w:val="nil"/>
              <w:bottom w:val="single" w:sz="4" w:space="0" w:color="auto"/>
              <w:right w:val="single" w:sz="4" w:space="0" w:color="auto"/>
            </w:tcBorders>
            <w:shd w:val="clear" w:color="auto" w:fill="auto"/>
            <w:noWrap/>
            <w:vAlign w:val="bottom"/>
            <w:hideMark/>
          </w:tcPr>
          <w:p w14:paraId="7B59675A" w14:textId="77777777" w:rsidR="006D062C" w:rsidRPr="005319BD" w:rsidRDefault="00235E79">
            <w:pPr>
              <w:rPr>
                <w:rFonts w:ascii="Arial" w:hAnsi="Arial" w:cs="Arial"/>
                <w:color w:val="000000"/>
                <w:sz w:val="20"/>
              </w:rPr>
            </w:pPr>
            <w:r>
              <w:rPr>
                <w:rFonts w:ascii="Arial" w:hAnsi="Arial" w:cs="Arial"/>
                <w:color w:val="000000"/>
                <w:sz w:val="20"/>
              </w:rPr>
              <w:t xml:space="preserve">    5,512,295,665.00</w:t>
            </w:r>
            <w:r w:rsidR="006D062C" w:rsidRPr="005319BD">
              <w:rPr>
                <w:rFonts w:ascii="Arial" w:hAnsi="Arial" w:cs="Arial"/>
                <w:color w:val="000000"/>
                <w:sz w:val="20"/>
              </w:rPr>
              <w:t xml:space="preserve"> </w:t>
            </w:r>
          </w:p>
        </w:tc>
        <w:tc>
          <w:tcPr>
            <w:tcW w:w="2052" w:type="dxa"/>
            <w:tcBorders>
              <w:top w:val="nil"/>
              <w:left w:val="nil"/>
              <w:bottom w:val="single" w:sz="4" w:space="0" w:color="auto"/>
              <w:right w:val="single" w:sz="4" w:space="0" w:color="auto"/>
            </w:tcBorders>
            <w:shd w:val="clear" w:color="auto" w:fill="auto"/>
            <w:noWrap/>
            <w:vAlign w:val="bottom"/>
            <w:hideMark/>
          </w:tcPr>
          <w:p w14:paraId="2FDEE1D4" w14:textId="77777777" w:rsidR="006D062C" w:rsidRPr="005319BD" w:rsidRDefault="00235E79">
            <w:pPr>
              <w:rPr>
                <w:rFonts w:ascii="Arial" w:hAnsi="Arial" w:cs="Arial"/>
                <w:color w:val="000000"/>
                <w:sz w:val="20"/>
              </w:rPr>
            </w:pPr>
            <w:r>
              <w:rPr>
                <w:rFonts w:ascii="Arial" w:hAnsi="Arial" w:cs="Arial"/>
                <w:color w:val="000000"/>
                <w:sz w:val="20"/>
              </w:rPr>
              <w:t xml:space="preserve">  4,150,637,247.24</w:t>
            </w:r>
          </w:p>
        </w:tc>
        <w:tc>
          <w:tcPr>
            <w:tcW w:w="2174" w:type="dxa"/>
            <w:tcBorders>
              <w:top w:val="nil"/>
              <w:left w:val="nil"/>
              <w:bottom w:val="single" w:sz="4" w:space="0" w:color="auto"/>
              <w:right w:val="single" w:sz="4" w:space="0" w:color="auto"/>
            </w:tcBorders>
            <w:shd w:val="clear" w:color="auto" w:fill="auto"/>
            <w:noWrap/>
            <w:vAlign w:val="bottom"/>
            <w:hideMark/>
          </w:tcPr>
          <w:p w14:paraId="148A5EDB" w14:textId="77777777" w:rsidR="006D062C" w:rsidRPr="005319BD" w:rsidRDefault="00DC66C1">
            <w:pPr>
              <w:rPr>
                <w:rFonts w:ascii="Arial" w:hAnsi="Arial" w:cs="Arial"/>
                <w:color w:val="000000"/>
                <w:sz w:val="20"/>
              </w:rPr>
            </w:pPr>
            <w:r w:rsidRPr="005319BD">
              <w:rPr>
                <w:rFonts w:ascii="Arial" w:hAnsi="Arial" w:cs="Arial"/>
                <w:color w:val="000000"/>
                <w:sz w:val="20"/>
              </w:rPr>
              <w:t xml:space="preserve">  </w:t>
            </w:r>
            <w:r w:rsidR="006D062C" w:rsidRPr="005319BD">
              <w:rPr>
                <w:rFonts w:ascii="Arial" w:hAnsi="Arial" w:cs="Arial"/>
                <w:color w:val="000000"/>
                <w:sz w:val="20"/>
              </w:rPr>
              <w:t xml:space="preserve"> </w:t>
            </w:r>
            <w:r w:rsidRPr="005319BD">
              <w:rPr>
                <w:rFonts w:ascii="Arial" w:hAnsi="Arial" w:cs="Arial"/>
                <w:color w:val="000000"/>
                <w:sz w:val="20"/>
              </w:rPr>
              <w:t>8,297,352,790.71</w:t>
            </w:r>
          </w:p>
        </w:tc>
        <w:tc>
          <w:tcPr>
            <w:tcW w:w="2174" w:type="dxa"/>
            <w:tcBorders>
              <w:top w:val="nil"/>
              <w:left w:val="nil"/>
              <w:bottom w:val="single" w:sz="4" w:space="0" w:color="auto"/>
              <w:right w:val="single" w:sz="4" w:space="0" w:color="auto"/>
            </w:tcBorders>
            <w:shd w:val="clear" w:color="auto" w:fill="auto"/>
            <w:noWrap/>
            <w:vAlign w:val="bottom"/>
            <w:hideMark/>
          </w:tcPr>
          <w:p w14:paraId="1B65AD0F" w14:textId="77777777" w:rsidR="006D062C" w:rsidRPr="005319BD" w:rsidRDefault="00235E79">
            <w:pPr>
              <w:rPr>
                <w:rFonts w:ascii="Arial" w:hAnsi="Arial" w:cs="Arial"/>
                <w:color w:val="000000"/>
                <w:sz w:val="20"/>
              </w:rPr>
            </w:pPr>
            <w:r>
              <w:rPr>
                <w:rFonts w:ascii="Arial" w:hAnsi="Arial" w:cs="Arial"/>
                <w:color w:val="000000"/>
                <w:sz w:val="20"/>
              </w:rPr>
              <w:t xml:space="preserve">  27,886,804,448.44</w:t>
            </w:r>
          </w:p>
        </w:tc>
        <w:tc>
          <w:tcPr>
            <w:tcW w:w="2200" w:type="dxa"/>
            <w:tcBorders>
              <w:top w:val="nil"/>
              <w:left w:val="nil"/>
              <w:bottom w:val="single" w:sz="4" w:space="0" w:color="auto"/>
              <w:right w:val="single" w:sz="4" w:space="0" w:color="auto"/>
            </w:tcBorders>
            <w:shd w:val="clear" w:color="auto" w:fill="auto"/>
            <w:noWrap/>
            <w:vAlign w:val="bottom"/>
            <w:hideMark/>
          </w:tcPr>
          <w:p w14:paraId="26ACE674" w14:textId="77777777" w:rsidR="006D062C" w:rsidRPr="005319BD" w:rsidRDefault="00557892">
            <w:pPr>
              <w:rPr>
                <w:rFonts w:ascii="Arial" w:hAnsi="Arial" w:cs="Arial"/>
                <w:b/>
                <w:bCs/>
                <w:color w:val="00B0F0"/>
                <w:sz w:val="20"/>
              </w:rPr>
            </w:pPr>
            <w:r w:rsidRPr="005319BD">
              <w:rPr>
                <w:rFonts w:ascii="Arial" w:hAnsi="Arial" w:cs="Arial"/>
                <w:b/>
                <w:bCs/>
                <w:color w:val="00B0F0"/>
                <w:sz w:val="20"/>
              </w:rPr>
              <w:t xml:space="preserve">  </w:t>
            </w:r>
            <w:r w:rsidR="00824C88">
              <w:rPr>
                <w:rFonts w:ascii="Arial" w:hAnsi="Arial" w:cs="Arial"/>
                <w:b/>
                <w:bCs/>
                <w:color w:val="00B0F0"/>
                <w:sz w:val="20"/>
              </w:rPr>
              <w:t>45,847,090,151.3</w:t>
            </w:r>
            <w:r w:rsidR="006D062C" w:rsidRPr="005319BD">
              <w:rPr>
                <w:rFonts w:ascii="Arial" w:hAnsi="Arial" w:cs="Arial"/>
                <w:b/>
                <w:bCs/>
                <w:color w:val="00B0F0"/>
                <w:sz w:val="20"/>
              </w:rPr>
              <w:t xml:space="preserve"> </w:t>
            </w:r>
          </w:p>
        </w:tc>
      </w:tr>
      <w:tr w:rsidR="00DB755B" w:rsidRPr="005319BD" w14:paraId="55A4A0C7" w14:textId="77777777" w:rsidTr="001153A1">
        <w:trPr>
          <w:cantSplit/>
          <w:trHeight w:val="1134"/>
        </w:trPr>
        <w:tc>
          <w:tcPr>
            <w:tcW w:w="709" w:type="dxa"/>
            <w:tcBorders>
              <w:top w:val="nil"/>
              <w:left w:val="single" w:sz="4" w:space="0" w:color="auto"/>
              <w:bottom w:val="single" w:sz="4" w:space="0" w:color="auto"/>
              <w:right w:val="single" w:sz="4" w:space="0" w:color="auto"/>
            </w:tcBorders>
            <w:shd w:val="clear" w:color="auto" w:fill="auto"/>
            <w:textDirection w:val="btLr"/>
            <w:vAlign w:val="bottom"/>
          </w:tcPr>
          <w:p w14:paraId="0A401041" w14:textId="77777777" w:rsidR="00DB755B" w:rsidRPr="00E27618" w:rsidRDefault="006C0060" w:rsidP="005319BD">
            <w:pPr>
              <w:ind w:left="113" w:right="113"/>
              <w:jc w:val="center"/>
              <w:rPr>
                <w:rFonts w:ascii="Arial" w:hAnsi="Arial" w:cs="Arial"/>
                <w:color w:val="4472C4"/>
                <w:sz w:val="18"/>
                <w:szCs w:val="18"/>
              </w:rPr>
            </w:pPr>
            <w:r w:rsidRPr="00E27618">
              <w:rPr>
                <w:rFonts w:ascii="Arial" w:hAnsi="Arial" w:cs="Arial"/>
                <w:color w:val="4472C4"/>
                <w:sz w:val="18"/>
                <w:szCs w:val="18"/>
              </w:rPr>
              <w:t>LAW &amp; JUSTICE</w:t>
            </w:r>
          </w:p>
        </w:tc>
        <w:tc>
          <w:tcPr>
            <w:tcW w:w="2127" w:type="dxa"/>
            <w:tcBorders>
              <w:top w:val="nil"/>
              <w:left w:val="nil"/>
              <w:bottom w:val="single" w:sz="4" w:space="0" w:color="auto"/>
              <w:right w:val="single" w:sz="4" w:space="0" w:color="auto"/>
            </w:tcBorders>
            <w:shd w:val="clear" w:color="auto" w:fill="auto"/>
            <w:noWrap/>
            <w:vAlign w:val="bottom"/>
          </w:tcPr>
          <w:p w14:paraId="56BC4702" w14:textId="77777777" w:rsidR="00DB755B" w:rsidRPr="005319BD" w:rsidRDefault="00235E79">
            <w:pPr>
              <w:rPr>
                <w:rFonts w:ascii="Arial" w:hAnsi="Arial" w:cs="Arial"/>
                <w:color w:val="000000"/>
                <w:sz w:val="20"/>
              </w:rPr>
            </w:pPr>
            <w:r>
              <w:rPr>
                <w:rFonts w:ascii="Arial" w:hAnsi="Arial" w:cs="Arial"/>
                <w:color w:val="000000"/>
                <w:sz w:val="20"/>
              </w:rPr>
              <w:t>2,705,958,189.00</w:t>
            </w:r>
          </w:p>
        </w:tc>
        <w:tc>
          <w:tcPr>
            <w:tcW w:w="2052" w:type="dxa"/>
            <w:tcBorders>
              <w:top w:val="nil"/>
              <w:left w:val="nil"/>
              <w:bottom w:val="single" w:sz="4" w:space="0" w:color="auto"/>
              <w:right w:val="single" w:sz="4" w:space="0" w:color="auto"/>
            </w:tcBorders>
            <w:shd w:val="clear" w:color="auto" w:fill="auto"/>
            <w:noWrap/>
            <w:vAlign w:val="bottom"/>
          </w:tcPr>
          <w:p w14:paraId="0FFCF6D0" w14:textId="77777777" w:rsidR="00DB755B" w:rsidRPr="005319BD" w:rsidRDefault="00235E79">
            <w:pPr>
              <w:rPr>
                <w:rFonts w:ascii="Arial" w:hAnsi="Arial" w:cs="Arial"/>
                <w:color w:val="000000"/>
                <w:sz w:val="20"/>
              </w:rPr>
            </w:pPr>
            <w:r>
              <w:rPr>
                <w:rFonts w:ascii="Arial" w:hAnsi="Arial" w:cs="Arial"/>
                <w:color w:val="000000"/>
                <w:sz w:val="20"/>
              </w:rPr>
              <w:t>1,139,858,360.14</w:t>
            </w:r>
          </w:p>
        </w:tc>
        <w:tc>
          <w:tcPr>
            <w:tcW w:w="2174" w:type="dxa"/>
            <w:tcBorders>
              <w:top w:val="nil"/>
              <w:left w:val="nil"/>
              <w:bottom w:val="single" w:sz="4" w:space="0" w:color="auto"/>
              <w:right w:val="single" w:sz="4" w:space="0" w:color="auto"/>
            </w:tcBorders>
            <w:shd w:val="clear" w:color="auto" w:fill="auto"/>
            <w:noWrap/>
            <w:vAlign w:val="bottom"/>
          </w:tcPr>
          <w:p w14:paraId="7695504B" w14:textId="77777777" w:rsidR="00DB755B" w:rsidRPr="005319BD" w:rsidRDefault="00F115C1">
            <w:pPr>
              <w:rPr>
                <w:rFonts w:ascii="Arial" w:hAnsi="Arial" w:cs="Arial"/>
                <w:color w:val="000000"/>
                <w:sz w:val="20"/>
              </w:rPr>
            </w:pPr>
            <w:r w:rsidRPr="005319BD">
              <w:rPr>
                <w:rFonts w:ascii="Arial" w:hAnsi="Arial" w:cs="Arial"/>
                <w:color w:val="000000"/>
                <w:sz w:val="20"/>
              </w:rPr>
              <w:t>3,101,159,549.13</w:t>
            </w:r>
          </w:p>
        </w:tc>
        <w:tc>
          <w:tcPr>
            <w:tcW w:w="2174" w:type="dxa"/>
            <w:tcBorders>
              <w:top w:val="nil"/>
              <w:left w:val="nil"/>
              <w:bottom w:val="single" w:sz="4" w:space="0" w:color="auto"/>
              <w:right w:val="single" w:sz="4" w:space="0" w:color="auto"/>
            </w:tcBorders>
            <w:shd w:val="clear" w:color="auto" w:fill="auto"/>
            <w:noWrap/>
            <w:vAlign w:val="bottom"/>
          </w:tcPr>
          <w:p w14:paraId="59363911" w14:textId="77777777" w:rsidR="00DB755B" w:rsidRPr="005319BD" w:rsidRDefault="006C0060">
            <w:pPr>
              <w:rPr>
                <w:rFonts w:ascii="Arial" w:hAnsi="Arial" w:cs="Arial"/>
                <w:color w:val="000000"/>
                <w:sz w:val="20"/>
              </w:rPr>
            </w:pPr>
            <w:r w:rsidRPr="005319BD">
              <w:rPr>
                <w:rFonts w:ascii="Arial" w:hAnsi="Arial" w:cs="Arial"/>
                <w:color w:val="000000"/>
                <w:sz w:val="20"/>
              </w:rPr>
              <w:t>695,738,954.27</w:t>
            </w:r>
          </w:p>
        </w:tc>
        <w:tc>
          <w:tcPr>
            <w:tcW w:w="2200" w:type="dxa"/>
            <w:tcBorders>
              <w:top w:val="nil"/>
              <w:left w:val="nil"/>
              <w:bottom w:val="single" w:sz="4" w:space="0" w:color="auto"/>
              <w:right w:val="single" w:sz="4" w:space="0" w:color="auto"/>
            </w:tcBorders>
            <w:shd w:val="clear" w:color="auto" w:fill="auto"/>
            <w:noWrap/>
            <w:vAlign w:val="bottom"/>
          </w:tcPr>
          <w:p w14:paraId="103829B4" w14:textId="77777777" w:rsidR="00DB755B" w:rsidRPr="005319BD" w:rsidRDefault="000308F8">
            <w:pPr>
              <w:rPr>
                <w:rFonts w:ascii="Arial" w:hAnsi="Arial" w:cs="Arial"/>
                <w:b/>
                <w:bCs/>
                <w:color w:val="000000"/>
                <w:sz w:val="20"/>
              </w:rPr>
            </w:pPr>
            <w:r>
              <w:rPr>
                <w:rFonts w:ascii="Arial" w:hAnsi="Arial" w:cs="Arial"/>
                <w:b/>
                <w:bCs/>
                <w:color w:val="000000"/>
                <w:sz w:val="20"/>
              </w:rPr>
              <w:t>7,642,715,052.54</w:t>
            </w:r>
          </w:p>
        </w:tc>
      </w:tr>
      <w:tr w:rsidR="006D062C" w:rsidRPr="005319BD" w14:paraId="02EF6285" w14:textId="77777777" w:rsidTr="001153A1">
        <w:trPr>
          <w:cantSplit/>
          <w:trHeight w:val="1134"/>
        </w:trPr>
        <w:tc>
          <w:tcPr>
            <w:tcW w:w="709" w:type="dxa"/>
            <w:tcBorders>
              <w:top w:val="nil"/>
              <w:left w:val="single" w:sz="4" w:space="0" w:color="auto"/>
              <w:bottom w:val="single" w:sz="4" w:space="0" w:color="auto"/>
              <w:right w:val="single" w:sz="4" w:space="0" w:color="auto"/>
            </w:tcBorders>
            <w:shd w:val="clear" w:color="auto" w:fill="auto"/>
            <w:textDirection w:val="btLr"/>
            <w:vAlign w:val="bottom"/>
            <w:hideMark/>
          </w:tcPr>
          <w:p w14:paraId="27B8C996" w14:textId="77777777" w:rsidR="006D062C" w:rsidRPr="00E27618" w:rsidRDefault="006D062C" w:rsidP="005319BD">
            <w:pPr>
              <w:ind w:left="113" w:right="113"/>
              <w:jc w:val="center"/>
              <w:rPr>
                <w:rFonts w:ascii="Arial" w:hAnsi="Arial" w:cs="Arial"/>
                <w:color w:val="7030A0"/>
                <w:sz w:val="18"/>
                <w:szCs w:val="18"/>
              </w:rPr>
            </w:pPr>
            <w:r w:rsidRPr="00E27618">
              <w:rPr>
                <w:rFonts w:ascii="Arial" w:hAnsi="Arial" w:cs="Arial"/>
                <w:color w:val="7030A0"/>
                <w:sz w:val="18"/>
                <w:szCs w:val="18"/>
              </w:rPr>
              <w:t>SOCIAL SECTOR</w:t>
            </w:r>
          </w:p>
        </w:tc>
        <w:tc>
          <w:tcPr>
            <w:tcW w:w="2127" w:type="dxa"/>
            <w:tcBorders>
              <w:top w:val="nil"/>
              <w:left w:val="nil"/>
              <w:bottom w:val="single" w:sz="4" w:space="0" w:color="auto"/>
              <w:right w:val="single" w:sz="4" w:space="0" w:color="auto"/>
            </w:tcBorders>
            <w:shd w:val="clear" w:color="auto" w:fill="auto"/>
            <w:noWrap/>
            <w:vAlign w:val="bottom"/>
            <w:hideMark/>
          </w:tcPr>
          <w:p w14:paraId="771A4A6B" w14:textId="77777777" w:rsidR="006D062C" w:rsidRPr="005319BD" w:rsidRDefault="00235E79">
            <w:pPr>
              <w:rPr>
                <w:rFonts w:ascii="Arial" w:hAnsi="Arial" w:cs="Arial"/>
                <w:color w:val="000000"/>
                <w:sz w:val="20"/>
              </w:rPr>
            </w:pPr>
            <w:r>
              <w:rPr>
                <w:rFonts w:ascii="Arial" w:hAnsi="Arial" w:cs="Arial"/>
                <w:color w:val="000000"/>
                <w:sz w:val="20"/>
              </w:rPr>
              <w:t xml:space="preserve">    29,595,135,120.00</w:t>
            </w:r>
            <w:r w:rsidR="006D062C" w:rsidRPr="005319BD">
              <w:rPr>
                <w:rFonts w:ascii="Arial" w:hAnsi="Arial" w:cs="Arial"/>
                <w:color w:val="000000"/>
                <w:sz w:val="20"/>
              </w:rPr>
              <w:t xml:space="preserve"> </w:t>
            </w:r>
          </w:p>
        </w:tc>
        <w:tc>
          <w:tcPr>
            <w:tcW w:w="2052" w:type="dxa"/>
            <w:tcBorders>
              <w:top w:val="nil"/>
              <w:left w:val="nil"/>
              <w:bottom w:val="single" w:sz="4" w:space="0" w:color="auto"/>
              <w:right w:val="single" w:sz="4" w:space="0" w:color="auto"/>
            </w:tcBorders>
            <w:shd w:val="clear" w:color="auto" w:fill="auto"/>
            <w:noWrap/>
            <w:vAlign w:val="bottom"/>
            <w:hideMark/>
          </w:tcPr>
          <w:p w14:paraId="46A5DD49" w14:textId="77777777" w:rsidR="006D062C" w:rsidRPr="005319BD" w:rsidRDefault="00235E79">
            <w:pPr>
              <w:rPr>
                <w:rFonts w:ascii="Arial" w:hAnsi="Arial" w:cs="Arial"/>
                <w:color w:val="000000"/>
                <w:sz w:val="20"/>
              </w:rPr>
            </w:pPr>
            <w:r>
              <w:rPr>
                <w:rFonts w:ascii="Arial" w:hAnsi="Arial" w:cs="Arial"/>
                <w:color w:val="000000"/>
                <w:sz w:val="20"/>
              </w:rPr>
              <w:t xml:space="preserve">  6,158,116,721.65</w:t>
            </w:r>
          </w:p>
        </w:tc>
        <w:tc>
          <w:tcPr>
            <w:tcW w:w="2174" w:type="dxa"/>
            <w:tcBorders>
              <w:top w:val="nil"/>
              <w:left w:val="nil"/>
              <w:bottom w:val="single" w:sz="4" w:space="0" w:color="auto"/>
              <w:right w:val="single" w:sz="4" w:space="0" w:color="auto"/>
            </w:tcBorders>
            <w:shd w:val="clear" w:color="auto" w:fill="auto"/>
            <w:noWrap/>
            <w:vAlign w:val="bottom"/>
            <w:hideMark/>
          </w:tcPr>
          <w:p w14:paraId="64272171" w14:textId="77777777" w:rsidR="006D062C" w:rsidRPr="005319BD" w:rsidRDefault="00F115C1">
            <w:pPr>
              <w:rPr>
                <w:rFonts w:ascii="Arial" w:hAnsi="Arial" w:cs="Arial"/>
                <w:color w:val="000000"/>
                <w:sz w:val="20"/>
              </w:rPr>
            </w:pPr>
            <w:r w:rsidRPr="005319BD">
              <w:rPr>
                <w:rFonts w:ascii="Arial" w:hAnsi="Arial" w:cs="Arial"/>
                <w:color w:val="000000"/>
                <w:sz w:val="20"/>
              </w:rPr>
              <w:t xml:space="preserve">    35,189,251,841.65</w:t>
            </w:r>
            <w:r w:rsidR="006D062C" w:rsidRPr="005319BD">
              <w:rPr>
                <w:rFonts w:ascii="Arial" w:hAnsi="Arial" w:cs="Arial"/>
                <w:color w:val="000000"/>
                <w:sz w:val="20"/>
              </w:rPr>
              <w:t xml:space="preserve"> </w:t>
            </w:r>
          </w:p>
        </w:tc>
        <w:tc>
          <w:tcPr>
            <w:tcW w:w="2174" w:type="dxa"/>
            <w:tcBorders>
              <w:top w:val="nil"/>
              <w:left w:val="nil"/>
              <w:bottom w:val="single" w:sz="4" w:space="0" w:color="auto"/>
              <w:right w:val="single" w:sz="4" w:space="0" w:color="auto"/>
            </w:tcBorders>
            <w:shd w:val="clear" w:color="auto" w:fill="auto"/>
            <w:noWrap/>
            <w:vAlign w:val="bottom"/>
            <w:hideMark/>
          </w:tcPr>
          <w:p w14:paraId="4C3AE9C8" w14:textId="77777777" w:rsidR="006D062C" w:rsidRPr="005319BD" w:rsidRDefault="006C0060">
            <w:pPr>
              <w:rPr>
                <w:rFonts w:ascii="Arial" w:hAnsi="Arial" w:cs="Arial"/>
                <w:color w:val="000000"/>
                <w:sz w:val="20"/>
              </w:rPr>
            </w:pPr>
            <w:r w:rsidRPr="005319BD">
              <w:rPr>
                <w:rFonts w:ascii="Arial" w:hAnsi="Arial" w:cs="Arial"/>
                <w:color w:val="000000"/>
                <w:sz w:val="20"/>
              </w:rPr>
              <w:t xml:space="preserve">   3,412,795,973.50</w:t>
            </w:r>
            <w:r w:rsidR="006D062C" w:rsidRPr="005319BD">
              <w:rPr>
                <w:rFonts w:ascii="Arial" w:hAnsi="Arial" w:cs="Arial"/>
                <w:color w:val="000000"/>
                <w:sz w:val="20"/>
              </w:rPr>
              <w:t xml:space="preserve"> </w:t>
            </w:r>
          </w:p>
        </w:tc>
        <w:tc>
          <w:tcPr>
            <w:tcW w:w="2200" w:type="dxa"/>
            <w:tcBorders>
              <w:top w:val="nil"/>
              <w:left w:val="nil"/>
              <w:bottom w:val="single" w:sz="4" w:space="0" w:color="auto"/>
              <w:right w:val="single" w:sz="4" w:space="0" w:color="auto"/>
            </w:tcBorders>
            <w:shd w:val="clear" w:color="auto" w:fill="auto"/>
            <w:noWrap/>
            <w:vAlign w:val="bottom"/>
            <w:hideMark/>
          </w:tcPr>
          <w:p w14:paraId="0B276F8E" w14:textId="77777777" w:rsidR="006D062C" w:rsidRPr="005319BD" w:rsidRDefault="00557892">
            <w:pPr>
              <w:rPr>
                <w:rFonts w:ascii="Arial" w:hAnsi="Arial" w:cs="Arial"/>
                <w:b/>
                <w:bCs/>
                <w:color w:val="00B0F0"/>
                <w:sz w:val="20"/>
              </w:rPr>
            </w:pPr>
            <w:r w:rsidRPr="005319BD">
              <w:rPr>
                <w:rFonts w:ascii="Arial" w:hAnsi="Arial" w:cs="Arial"/>
                <w:b/>
                <w:bCs/>
                <w:color w:val="00B0F0"/>
                <w:sz w:val="20"/>
              </w:rPr>
              <w:t xml:space="preserve"> </w:t>
            </w:r>
            <w:r w:rsidR="00263BA5">
              <w:rPr>
                <w:rFonts w:ascii="Arial" w:hAnsi="Arial" w:cs="Arial"/>
                <w:b/>
                <w:bCs/>
                <w:color w:val="00B0F0"/>
                <w:sz w:val="20"/>
              </w:rPr>
              <w:t>74,355,299,656.73</w:t>
            </w:r>
            <w:r w:rsidRPr="005319BD">
              <w:rPr>
                <w:rFonts w:ascii="Arial" w:hAnsi="Arial" w:cs="Arial"/>
                <w:b/>
                <w:bCs/>
                <w:color w:val="00B0F0"/>
                <w:sz w:val="20"/>
              </w:rPr>
              <w:t xml:space="preserve">    </w:t>
            </w:r>
            <w:r w:rsidR="006D062C" w:rsidRPr="005319BD">
              <w:rPr>
                <w:rFonts w:ascii="Arial" w:hAnsi="Arial" w:cs="Arial"/>
                <w:b/>
                <w:bCs/>
                <w:color w:val="00B0F0"/>
                <w:sz w:val="20"/>
              </w:rPr>
              <w:t xml:space="preserve"> </w:t>
            </w:r>
          </w:p>
        </w:tc>
      </w:tr>
      <w:tr w:rsidR="006D062C" w:rsidRPr="005319BD" w14:paraId="75889CE5" w14:textId="77777777" w:rsidTr="001153A1">
        <w:trPr>
          <w:cantSplit/>
          <w:trHeight w:val="1134"/>
        </w:trPr>
        <w:tc>
          <w:tcPr>
            <w:tcW w:w="709" w:type="dxa"/>
            <w:tcBorders>
              <w:top w:val="nil"/>
              <w:left w:val="single" w:sz="4" w:space="0" w:color="auto"/>
              <w:bottom w:val="single" w:sz="4" w:space="0" w:color="auto"/>
              <w:right w:val="single" w:sz="4" w:space="0" w:color="auto"/>
            </w:tcBorders>
            <w:shd w:val="clear" w:color="auto" w:fill="auto"/>
            <w:textDirection w:val="btLr"/>
            <w:vAlign w:val="bottom"/>
            <w:hideMark/>
          </w:tcPr>
          <w:p w14:paraId="34A34A2E" w14:textId="77777777" w:rsidR="006D062C" w:rsidRPr="00E27618" w:rsidRDefault="006D062C" w:rsidP="00B75D65">
            <w:pPr>
              <w:ind w:left="113" w:right="113"/>
              <w:rPr>
                <w:rFonts w:ascii="Arial" w:hAnsi="Arial" w:cs="Arial"/>
                <w:b/>
                <w:bCs/>
                <w:color w:val="000000"/>
                <w:sz w:val="18"/>
                <w:szCs w:val="18"/>
              </w:rPr>
            </w:pPr>
            <w:r w:rsidRPr="00E27618">
              <w:rPr>
                <w:rFonts w:ascii="Arial" w:hAnsi="Arial" w:cs="Arial"/>
                <w:b/>
                <w:bCs/>
                <w:color w:val="000000"/>
                <w:sz w:val="18"/>
                <w:szCs w:val="18"/>
              </w:rPr>
              <w:t>TOTAL</w:t>
            </w:r>
          </w:p>
        </w:tc>
        <w:tc>
          <w:tcPr>
            <w:tcW w:w="2127" w:type="dxa"/>
            <w:tcBorders>
              <w:top w:val="nil"/>
              <w:left w:val="nil"/>
              <w:bottom w:val="single" w:sz="4" w:space="0" w:color="auto"/>
              <w:right w:val="single" w:sz="4" w:space="0" w:color="auto"/>
            </w:tcBorders>
            <w:shd w:val="clear" w:color="auto" w:fill="auto"/>
            <w:noWrap/>
            <w:vAlign w:val="bottom"/>
          </w:tcPr>
          <w:p w14:paraId="77619396" w14:textId="77777777" w:rsidR="006D062C" w:rsidRPr="005319BD" w:rsidRDefault="00235E79">
            <w:pPr>
              <w:rPr>
                <w:rFonts w:ascii="Arial" w:hAnsi="Arial" w:cs="Arial"/>
                <w:b/>
                <w:bCs/>
                <w:color w:val="000000"/>
                <w:sz w:val="20"/>
              </w:rPr>
            </w:pPr>
            <w:r>
              <w:rPr>
                <w:rFonts w:ascii="Arial" w:hAnsi="Arial" w:cs="Arial"/>
                <w:b/>
                <w:bCs/>
                <w:color w:val="000000"/>
                <w:sz w:val="20"/>
              </w:rPr>
              <w:t>51,646,082,751.00</w:t>
            </w:r>
          </w:p>
        </w:tc>
        <w:tc>
          <w:tcPr>
            <w:tcW w:w="2052" w:type="dxa"/>
            <w:tcBorders>
              <w:top w:val="nil"/>
              <w:left w:val="nil"/>
              <w:bottom w:val="single" w:sz="4" w:space="0" w:color="auto"/>
              <w:right w:val="single" w:sz="4" w:space="0" w:color="auto"/>
            </w:tcBorders>
            <w:shd w:val="clear" w:color="auto" w:fill="auto"/>
            <w:noWrap/>
            <w:vAlign w:val="bottom"/>
          </w:tcPr>
          <w:p w14:paraId="7567E045" w14:textId="77777777" w:rsidR="006D062C" w:rsidRPr="005319BD" w:rsidRDefault="00235E79">
            <w:pPr>
              <w:rPr>
                <w:rFonts w:ascii="Arial" w:hAnsi="Arial" w:cs="Arial"/>
                <w:b/>
                <w:bCs/>
                <w:color w:val="000000"/>
                <w:sz w:val="20"/>
              </w:rPr>
            </w:pPr>
            <w:r>
              <w:rPr>
                <w:rFonts w:ascii="Arial" w:hAnsi="Arial" w:cs="Arial"/>
                <w:b/>
                <w:bCs/>
                <w:color w:val="000000"/>
                <w:sz w:val="20"/>
              </w:rPr>
              <w:t>30,107,327,222.13</w:t>
            </w:r>
          </w:p>
        </w:tc>
        <w:tc>
          <w:tcPr>
            <w:tcW w:w="2174" w:type="dxa"/>
            <w:tcBorders>
              <w:top w:val="nil"/>
              <w:left w:val="nil"/>
              <w:bottom w:val="single" w:sz="4" w:space="0" w:color="auto"/>
              <w:right w:val="single" w:sz="4" w:space="0" w:color="auto"/>
            </w:tcBorders>
            <w:shd w:val="clear" w:color="auto" w:fill="auto"/>
            <w:noWrap/>
            <w:vAlign w:val="bottom"/>
          </w:tcPr>
          <w:p w14:paraId="2D139DCB" w14:textId="77777777" w:rsidR="006D062C" w:rsidRPr="005319BD" w:rsidRDefault="004677B0">
            <w:pPr>
              <w:rPr>
                <w:rFonts w:ascii="Arial" w:hAnsi="Arial" w:cs="Arial"/>
                <w:b/>
                <w:bCs/>
                <w:color w:val="000000"/>
                <w:sz w:val="20"/>
              </w:rPr>
            </w:pPr>
            <w:r w:rsidRPr="005319BD">
              <w:rPr>
                <w:rFonts w:ascii="Arial" w:hAnsi="Arial" w:cs="Arial"/>
                <w:b/>
                <w:bCs/>
                <w:color w:val="000000"/>
                <w:sz w:val="20"/>
              </w:rPr>
              <w:t>77,559,325,809.13</w:t>
            </w:r>
          </w:p>
        </w:tc>
        <w:tc>
          <w:tcPr>
            <w:tcW w:w="2174" w:type="dxa"/>
            <w:tcBorders>
              <w:top w:val="nil"/>
              <w:left w:val="nil"/>
              <w:bottom w:val="single" w:sz="4" w:space="0" w:color="auto"/>
              <w:right w:val="single" w:sz="4" w:space="0" w:color="auto"/>
            </w:tcBorders>
            <w:shd w:val="clear" w:color="auto" w:fill="auto"/>
            <w:noWrap/>
            <w:vAlign w:val="bottom"/>
            <w:hideMark/>
          </w:tcPr>
          <w:p w14:paraId="64994FC8" w14:textId="77777777" w:rsidR="006D062C" w:rsidRPr="005319BD" w:rsidRDefault="00557892">
            <w:pPr>
              <w:rPr>
                <w:rFonts w:ascii="Arial" w:hAnsi="Arial" w:cs="Arial"/>
                <w:b/>
                <w:bCs/>
                <w:color w:val="000000"/>
                <w:sz w:val="20"/>
              </w:rPr>
            </w:pPr>
            <w:r w:rsidRPr="005319BD">
              <w:rPr>
                <w:rFonts w:ascii="Arial" w:hAnsi="Arial" w:cs="Arial"/>
                <w:b/>
                <w:bCs/>
                <w:color w:val="000000"/>
                <w:sz w:val="20"/>
              </w:rPr>
              <w:t xml:space="preserve"> </w:t>
            </w:r>
            <w:r w:rsidR="00314CDE">
              <w:rPr>
                <w:rFonts w:ascii="Arial" w:hAnsi="Arial" w:cs="Arial"/>
                <w:b/>
                <w:bCs/>
                <w:color w:val="000000"/>
                <w:sz w:val="20"/>
              </w:rPr>
              <w:t>34,784,246,602.57</w:t>
            </w:r>
          </w:p>
        </w:tc>
        <w:tc>
          <w:tcPr>
            <w:tcW w:w="2200" w:type="dxa"/>
            <w:tcBorders>
              <w:top w:val="nil"/>
              <w:left w:val="nil"/>
              <w:bottom w:val="single" w:sz="4" w:space="0" w:color="auto"/>
              <w:right w:val="single" w:sz="4" w:space="0" w:color="auto"/>
            </w:tcBorders>
            <w:shd w:val="clear" w:color="auto" w:fill="auto"/>
            <w:noWrap/>
            <w:vAlign w:val="bottom"/>
            <w:hideMark/>
          </w:tcPr>
          <w:p w14:paraId="6896A018" w14:textId="77777777" w:rsidR="006D062C" w:rsidRPr="005319BD" w:rsidRDefault="00557892">
            <w:pPr>
              <w:rPr>
                <w:rFonts w:ascii="Arial" w:hAnsi="Arial" w:cs="Arial"/>
                <w:b/>
                <w:bCs/>
                <w:color w:val="000000"/>
                <w:sz w:val="20"/>
              </w:rPr>
            </w:pPr>
            <w:r w:rsidRPr="005319BD">
              <w:rPr>
                <w:rFonts w:ascii="Arial" w:hAnsi="Arial" w:cs="Arial"/>
                <w:b/>
                <w:bCs/>
                <w:color w:val="000000"/>
                <w:sz w:val="20"/>
              </w:rPr>
              <w:t xml:space="preserve">  </w:t>
            </w:r>
            <w:r w:rsidR="006D062C" w:rsidRPr="005319BD">
              <w:rPr>
                <w:rFonts w:ascii="Arial" w:hAnsi="Arial" w:cs="Arial"/>
                <w:b/>
                <w:bCs/>
                <w:color w:val="000000"/>
                <w:sz w:val="20"/>
              </w:rPr>
              <w:t xml:space="preserve"> </w:t>
            </w:r>
            <w:r w:rsidR="00D94887">
              <w:rPr>
                <w:rFonts w:ascii="Arial" w:hAnsi="Arial" w:cs="Arial"/>
                <w:b/>
                <w:bCs/>
                <w:color w:val="000000"/>
                <w:sz w:val="20"/>
              </w:rPr>
              <w:t>194,096,982,384</w:t>
            </w:r>
          </w:p>
        </w:tc>
      </w:tr>
    </w:tbl>
    <w:p w14:paraId="14F7F7C7" w14:textId="77777777" w:rsidR="00B15BCD" w:rsidRDefault="003B51C9" w:rsidP="00BA7E03">
      <w:pPr>
        <w:rPr>
          <w:noProof/>
        </w:rPr>
      </w:pPr>
      <w:r>
        <w:rPr>
          <w:noProof/>
        </w:rPr>
        <w:t xml:space="preserve">                </w:t>
      </w:r>
    </w:p>
    <w:p w14:paraId="07E94711" w14:textId="77777777" w:rsidR="00B15BCD" w:rsidRDefault="00B15BCD" w:rsidP="00BA7E03">
      <w:pPr>
        <w:rPr>
          <w:noProof/>
        </w:rPr>
      </w:pPr>
    </w:p>
    <w:p w14:paraId="1B580C61" w14:textId="77777777" w:rsidR="00B15BCD" w:rsidRDefault="00B15BCD" w:rsidP="00BA7E03">
      <w:pPr>
        <w:rPr>
          <w:noProof/>
        </w:rPr>
      </w:pPr>
    </w:p>
    <w:p w14:paraId="1BDF975E" w14:textId="77777777" w:rsidR="00B15BCD" w:rsidRDefault="00B15BCD" w:rsidP="00BA7E03">
      <w:pPr>
        <w:rPr>
          <w:noProof/>
        </w:rPr>
      </w:pPr>
    </w:p>
    <w:p w14:paraId="6BBEB87A" w14:textId="77777777" w:rsidR="00B15BCD" w:rsidRDefault="00B15BCD" w:rsidP="00BA7E03">
      <w:pPr>
        <w:rPr>
          <w:noProof/>
        </w:rPr>
      </w:pPr>
    </w:p>
    <w:p w14:paraId="0EB81D87" w14:textId="77777777" w:rsidR="00B15BCD" w:rsidRDefault="00B15BCD" w:rsidP="00BA7E03">
      <w:pPr>
        <w:rPr>
          <w:noProof/>
        </w:rPr>
      </w:pPr>
    </w:p>
    <w:p w14:paraId="48518B99" w14:textId="77777777" w:rsidR="00B15BCD" w:rsidRDefault="00B15BCD" w:rsidP="00BA7E03">
      <w:pPr>
        <w:rPr>
          <w:noProof/>
        </w:rPr>
      </w:pPr>
    </w:p>
    <w:p w14:paraId="7B655853" w14:textId="77777777" w:rsidR="003B51C9" w:rsidRPr="00B15BCD" w:rsidRDefault="003B51C9" w:rsidP="00BA7E03">
      <w:pPr>
        <w:rPr>
          <w:noProof/>
        </w:rPr>
      </w:pPr>
      <w:r>
        <w:rPr>
          <w:noProof/>
        </w:rPr>
        <w:lastRenderedPageBreak/>
        <w:t xml:space="preserve">          </w:t>
      </w:r>
      <w:r>
        <w:rPr>
          <w:noProof/>
        </w:rPr>
        <w:drawing>
          <wp:inline distT="0" distB="0" distL="0" distR="0" wp14:anchorId="6152C4F1" wp14:editId="3F5A495D">
            <wp:extent cx="5648325" cy="3858895"/>
            <wp:effectExtent l="0" t="0" r="0" b="8255"/>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9FA6FFE" w14:textId="77777777" w:rsidR="00F17213" w:rsidRDefault="00B0301E" w:rsidP="00BA7E03">
      <w:pPr>
        <w:rPr>
          <w:sz w:val="24"/>
          <w:szCs w:val="24"/>
        </w:rPr>
      </w:pPr>
      <w:r>
        <w:rPr>
          <w:sz w:val="24"/>
          <w:szCs w:val="24"/>
        </w:rPr>
        <w:t xml:space="preserve">                           </w:t>
      </w:r>
    </w:p>
    <w:p w14:paraId="17A76F9E" w14:textId="77777777" w:rsidR="00F17213" w:rsidRPr="00BA7E03" w:rsidRDefault="00B15BCD" w:rsidP="00BA7E03">
      <w:pPr>
        <w:rPr>
          <w:sz w:val="24"/>
          <w:szCs w:val="24"/>
        </w:rPr>
      </w:pPr>
      <w:r>
        <w:rPr>
          <w:sz w:val="24"/>
          <w:szCs w:val="24"/>
        </w:rPr>
        <w:lastRenderedPageBreak/>
        <w:t xml:space="preserve">                                 </w:t>
      </w:r>
      <w:r>
        <w:rPr>
          <w:noProof/>
        </w:rPr>
        <w:drawing>
          <wp:inline distT="0" distB="0" distL="0" distR="0" wp14:anchorId="05BD3946" wp14:editId="474AE6A8">
            <wp:extent cx="5648325" cy="5824220"/>
            <wp:effectExtent l="0" t="0" r="9525" b="508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0D71BC1F" w14:textId="77777777" w:rsidR="0062711B" w:rsidRDefault="0062711B" w:rsidP="00255323">
      <w:pPr>
        <w:pStyle w:val="ListParagraph"/>
        <w:rPr>
          <w:sz w:val="24"/>
          <w:szCs w:val="24"/>
        </w:rPr>
      </w:pPr>
      <w:r>
        <w:rPr>
          <w:sz w:val="24"/>
          <w:szCs w:val="24"/>
        </w:rPr>
        <w:t xml:space="preserve">                                          </w:t>
      </w:r>
    </w:p>
    <w:p w14:paraId="5F4A9BD2" w14:textId="77777777" w:rsidR="0062711B" w:rsidRDefault="0062711B" w:rsidP="00255323">
      <w:pPr>
        <w:pStyle w:val="ListParagraph"/>
        <w:rPr>
          <w:sz w:val="24"/>
          <w:szCs w:val="24"/>
        </w:rPr>
      </w:pPr>
    </w:p>
    <w:p w14:paraId="4C48A7B9" w14:textId="77777777" w:rsidR="0062711B" w:rsidRDefault="00B0301E" w:rsidP="00255323">
      <w:pPr>
        <w:pStyle w:val="ListParagraph"/>
        <w:rPr>
          <w:sz w:val="24"/>
          <w:szCs w:val="24"/>
        </w:rPr>
      </w:pPr>
      <w:r>
        <w:rPr>
          <w:sz w:val="24"/>
          <w:szCs w:val="24"/>
        </w:rPr>
        <w:t xml:space="preserve">                                           </w:t>
      </w:r>
    </w:p>
    <w:p w14:paraId="1A573548" w14:textId="77777777" w:rsidR="0062711B" w:rsidRDefault="0062711B" w:rsidP="00255323">
      <w:pPr>
        <w:pStyle w:val="ListParagraph"/>
        <w:rPr>
          <w:sz w:val="24"/>
          <w:szCs w:val="24"/>
        </w:rPr>
      </w:pPr>
      <w:r>
        <w:rPr>
          <w:sz w:val="24"/>
          <w:szCs w:val="24"/>
        </w:rPr>
        <w:t xml:space="preserve">                                                              </w:t>
      </w:r>
    </w:p>
    <w:tbl>
      <w:tblPr>
        <w:tblW w:w="26298" w:type="dxa"/>
        <w:tblInd w:w="-1134" w:type="dxa"/>
        <w:tblLook w:val="04A0" w:firstRow="1" w:lastRow="0" w:firstColumn="1" w:lastColumn="0" w:noHBand="0" w:noVBand="1"/>
      </w:tblPr>
      <w:tblGrid>
        <w:gridCol w:w="19826"/>
        <w:gridCol w:w="3236"/>
        <w:gridCol w:w="3236"/>
      </w:tblGrid>
      <w:tr w:rsidR="0062711B" w:rsidRPr="0062711B" w14:paraId="343ADCD3" w14:textId="77777777" w:rsidTr="00AA5F51">
        <w:trPr>
          <w:trHeight w:val="315"/>
        </w:trPr>
        <w:tc>
          <w:tcPr>
            <w:tcW w:w="19826" w:type="dxa"/>
            <w:tcBorders>
              <w:top w:val="nil"/>
              <w:left w:val="nil"/>
              <w:bottom w:val="nil"/>
              <w:right w:val="nil"/>
            </w:tcBorders>
            <w:shd w:val="clear" w:color="auto" w:fill="auto"/>
            <w:noWrap/>
            <w:vAlign w:val="bottom"/>
            <w:hideMark/>
          </w:tcPr>
          <w:p w14:paraId="1EA3D32A" w14:textId="77777777" w:rsidR="0062711B" w:rsidRPr="0062711B" w:rsidRDefault="0062711B" w:rsidP="0062711B">
            <w:pPr>
              <w:spacing w:after="0" w:line="240" w:lineRule="auto"/>
              <w:rPr>
                <w:rFonts w:ascii="Arial" w:eastAsia="Times New Roman" w:hAnsi="Arial" w:cs="Arial"/>
                <w:color w:val="000000"/>
                <w:sz w:val="20"/>
                <w:szCs w:val="20"/>
              </w:rPr>
            </w:pPr>
          </w:p>
          <w:tbl>
            <w:tblPr>
              <w:tblW w:w="0" w:type="auto"/>
              <w:tblCellSpacing w:w="0" w:type="dxa"/>
              <w:tblLook w:val="04A0" w:firstRow="1" w:lastRow="0" w:firstColumn="1" w:lastColumn="0" w:noHBand="0" w:noVBand="1"/>
            </w:tblPr>
            <w:tblGrid>
              <w:gridCol w:w="3180"/>
            </w:tblGrid>
            <w:tr w:rsidR="0062711B" w:rsidRPr="0062711B" w14:paraId="44713996" w14:textId="77777777" w:rsidTr="004A093E">
              <w:trPr>
                <w:trHeight w:val="315"/>
                <w:tblCellSpacing w:w="0" w:type="dxa"/>
              </w:trPr>
              <w:tc>
                <w:tcPr>
                  <w:tcW w:w="3180" w:type="dxa"/>
                  <w:tcBorders>
                    <w:top w:val="nil"/>
                    <w:left w:val="nil"/>
                    <w:bottom w:val="nil"/>
                    <w:right w:val="nil"/>
                  </w:tcBorders>
                  <w:shd w:val="clear" w:color="auto" w:fill="auto"/>
                  <w:noWrap/>
                  <w:vAlign w:val="bottom"/>
                  <w:hideMark/>
                </w:tcPr>
                <w:p w14:paraId="0DE8BB17" w14:textId="77777777" w:rsidR="0062711B" w:rsidRDefault="004A093E" w:rsidP="0062711B">
                  <w:pPr>
                    <w:spacing w:after="0" w:line="240" w:lineRule="auto"/>
                    <w:rPr>
                      <w:rFonts w:ascii="Arial" w:eastAsia="Times New Roman" w:hAnsi="Arial" w:cs="Arial"/>
                      <w:color w:val="000000"/>
                      <w:sz w:val="20"/>
                      <w:szCs w:val="20"/>
                    </w:rPr>
                  </w:pPr>
                  <w:r>
                    <w:rPr>
                      <w:rFonts w:ascii="Arial" w:eastAsia="Times New Roman" w:hAnsi="Arial" w:cs="Arial"/>
                      <w:color w:val="000000"/>
                      <w:sz w:val="20"/>
                      <w:szCs w:val="20"/>
                    </w:rPr>
                    <w:t xml:space="preserve">                                                     </w:t>
                  </w:r>
                </w:p>
                <w:p w14:paraId="345E2A1D" w14:textId="77777777" w:rsidR="004A093E" w:rsidRDefault="004A093E" w:rsidP="0062711B">
                  <w:pPr>
                    <w:spacing w:after="0" w:line="240" w:lineRule="auto"/>
                    <w:rPr>
                      <w:rFonts w:ascii="Arial" w:eastAsia="Times New Roman" w:hAnsi="Arial" w:cs="Arial"/>
                      <w:color w:val="000000"/>
                      <w:sz w:val="20"/>
                      <w:szCs w:val="20"/>
                    </w:rPr>
                  </w:pPr>
                </w:p>
                <w:p w14:paraId="1B825C53" w14:textId="77777777" w:rsidR="004A093E" w:rsidRDefault="004A093E" w:rsidP="0062711B">
                  <w:pPr>
                    <w:spacing w:after="0" w:line="240" w:lineRule="auto"/>
                    <w:rPr>
                      <w:rFonts w:ascii="Arial" w:eastAsia="Times New Roman" w:hAnsi="Arial" w:cs="Arial"/>
                      <w:color w:val="000000"/>
                      <w:sz w:val="20"/>
                      <w:szCs w:val="20"/>
                    </w:rPr>
                  </w:pPr>
                </w:p>
                <w:p w14:paraId="731CA20F" w14:textId="77777777" w:rsidR="004A093E" w:rsidRDefault="004A093E" w:rsidP="0062711B">
                  <w:pPr>
                    <w:spacing w:after="0" w:line="240" w:lineRule="auto"/>
                    <w:rPr>
                      <w:rFonts w:ascii="Arial" w:eastAsia="Times New Roman" w:hAnsi="Arial" w:cs="Arial"/>
                      <w:color w:val="000000"/>
                      <w:sz w:val="20"/>
                      <w:szCs w:val="20"/>
                    </w:rPr>
                  </w:pPr>
                </w:p>
                <w:p w14:paraId="2C820559" w14:textId="77777777" w:rsidR="004A093E" w:rsidRDefault="004A093E" w:rsidP="0062711B">
                  <w:pPr>
                    <w:spacing w:after="0" w:line="240" w:lineRule="auto"/>
                    <w:rPr>
                      <w:rFonts w:ascii="Arial" w:eastAsia="Times New Roman" w:hAnsi="Arial" w:cs="Arial"/>
                      <w:color w:val="000000"/>
                      <w:sz w:val="20"/>
                      <w:szCs w:val="20"/>
                    </w:rPr>
                  </w:pPr>
                </w:p>
                <w:p w14:paraId="1313F064" w14:textId="77777777" w:rsidR="004A093E" w:rsidRDefault="004A093E" w:rsidP="0062711B">
                  <w:pPr>
                    <w:spacing w:after="0" w:line="240" w:lineRule="auto"/>
                    <w:rPr>
                      <w:rFonts w:ascii="Arial" w:eastAsia="Times New Roman" w:hAnsi="Arial" w:cs="Arial"/>
                      <w:color w:val="000000"/>
                      <w:sz w:val="20"/>
                      <w:szCs w:val="20"/>
                    </w:rPr>
                  </w:pPr>
                </w:p>
                <w:p w14:paraId="7EF9E39F" w14:textId="77777777" w:rsidR="004A093E" w:rsidRDefault="004A093E" w:rsidP="0062711B">
                  <w:pPr>
                    <w:spacing w:after="0" w:line="240" w:lineRule="auto"/>
                    <w:rPr>
                      <w:rFonts w:ascii="Arial" w:eastAsia="Times New Roman" w:hAnsi="Arial" w:cs="Arial"/>
                      <w:color w:val="000000"/>
                      <w:sz w:val="20"/>
                      <w:szCs w:val="20"/>
                    </w:rPr>
                  </w:pPr>
                </w:p>
                <w:p w14:paraId="539E4CE9" w14:textId="77777777" w:rsidR="004A093E" w:rsidRDefault="004A093E" w:rsidP="0062711B">
                  <w:pPr>
                    <w:spacing w:after="0" w:line="240" w:lineRule="auto"/>
                    <w:rPr>
                      <w:rFonts w:ascii="Arial" w:eastAsia="Times New Roman" w:hAnsi="Arial" w:cs="Arial"/>
                      <w:color w:val="000000"/>
                      <w:sz w:val="20"/>
                      <w:szCs w:val="20"/>
                    </w:rPr>
                  </w:pPr>
                </w:p>
                <w:p w14:paraId="7AF9741D" w14:textId="77777777" w:rsidR="004A093E" w:rsidRDefault="004A093E" w:rsidP="0062711B">
                  <w:pPr>
                    <w:spacing w:after="0" w:line="240" w:lineRule="auto"/>
                    <w:rPr>
                      <w:rFonts w:ascii="Arial" w:eastAsia="Times New Roman" w:hAnsi="Arial" w:cs="Arial"/>
                      <w:color w:val="000000"/>
                      <w:sz w:val="20"/>
                      <w:szCs w:val="20"/>
                    </w:rPr>
                  </w:pPr>
                </w:p>
                <w:p w14:paraId="4EE864D6" w14:textId="77777777" w:rsidR="004A093E" w:rsidRPr="0062711B" w:rsidRDefault="004A093E" w:rsidP="0062711B">
                  <w:pPr>
                    <w:spacing w:after="0" w:line="240" w:lineRule="auto"/>
                    <w:rPr>
                      <w:rFonts w:ascii="Arial" w:eastAsia="Times New Roman" w:hAnsi="Arial" w:cs="Arial"/>
                      <w:color w:val="000000"/>
                      <w:sz w:val="20"/>
                      <w:szCs w:val="20"/>
                    </w:rPr>
                  </w:pPr>
                  <w:r>
                    <w:rPr>
                      <w:rFonts w:ascii="Arial" w:eastAsia="Times New Roman" w:hAnsi="Arial" w:cs="Arial"/>
                      <w:color w:val="000000"/>
                      <w:sz w:val="20"/>
                      <w:szCs w:val="20"/>
                    </w:rPr>
                    <w:t xml:space="preserve">                                                                     </w:t>
                  </w:r>
                </w:p>
              </w:tc>
            </w:tr>
          </w:tbl>
          <w:p w14:paraId="46BB1326" w14:textId="77777777" w:rsidR="0062711B" w:rsidRPr="0062711B" w:rsidRDefault="0062711B" w:rsidP="0062711B">
            <w:pPr>
              <w:spacing w:after="0" w:line="240" w:lineRule="auto"/>
              <w:rPr>
                <w:rFonts w:ascii="Arial" w:eastAsia="Times New Roman" w:hAnsi="Arial" w:cs="Arial"/>
                <w:color w:val="000000"/>
                <w:sz w:val="20"/>
                <w:szCs w:val="20"/>
              </w:rPr>
            </w:pPr>
          </w:p>
        </w:tc>
        <w:tc>
          <w:tcPr>
            <w:tcW w:w="3236" w:type="dxa"/>
            <w:tcBorders>
              <w:top w:val="nil"/>
              <w:left w:val="nil"/>
              <w:bottom w:val="nil"/>
              <w:right w:val="nil"/>
            </w:tcBorders>
            <w:shd w:val="clear" w:color="auto" w:fill="auto"/>
            <w:noWrap/>
            <w:vAlign w:val="bottom"/>
            <w:hideMark/>
          </w:tcPr>
          <w:p w14:paraId="11DA629D" w14:textId="77777777" w:rsidR="0062711B" w:rsidRPr="0062711B" w:rsidRDefault="0062711B" w:rsidP="0062711B">
            <w:pPr>
              <w:spacing w:after="0" w:line="240" w:lineRule="auto"/>
              <w:rPr>
                <w:rFonts w:ascii="Times New Roman" w:eastAsia="Times New Roman" w:hAnsi="Times New Roman" w:cs="Times New Roman"/>
                <w:sz w:val="20"/>
                <w:szCs w:val="20"/>
              </w:rPr>
            </w:pPr>
          </w:p>
        </w:tc>
        <w:tc>
          <w:tcPr>
            <w:tcW w:w="3236" w:type="dxa"/>
            <w:tcBorders>
              <w:top w:val="nil"/>
              <w:left w:val="nil"/>
              <w:bottom w:val="nil"/>
              <w:right w:val="nil"/>
            </w:tcBorders>
            <w:shd w:val="clear" w:color="auto" w:fill="auto"/>
            <w:noWrap/>
            <w:vAlign w:val="bottom"/>
            <w:hideMark/>
          </w:tcPr>
          <w:p w14:paraId="0205D14B" w14:textId="77777777" w:rsidR="0062711B" w:rsidRPr="0062711B" w:rsidRDefault="0062711B" w:rsidP="0062711B">
            <w:pPr>
              <w:spacing w:after="0" w:line="240" w:lineRule="auto"/>
              <w:rPr>
                <w:rFonts w:ascii="Times New Roman" w:eastAsia="Times New Roman" w:hAnsi="Times New Roman" w:cs="Times New Roman"/>
                <w:sz w:val="20"/>
                <w:szCs w:val="20"/>
              </w:rPr>
            </w:pPr>
          </w:p>
        </w:tc>
      </w:tr>
      <w:tr w:rsidR="0062711B" w:rsidRPr="0062711B" w14:paraId="4E1FA5BD" w14:textId="77777777" w:rsidTr="00AA5F51">
        <w:trPr>
          <w:trHeight w:val="315"/>
        </w:trPr>
        <w:tc>
          <w:tcPr>
            <w:tcW w:w="19826" w:type="dxa"/>
            <w:tcBorders>
              <w:top w:val="nil"/>
              <w:left w:val="nil"/>
              <w:bottom w:val="nil"/>
              <w:right w:val="nil"/>
            </w:tcBorders>
            <w:shd w:val="clear" w:color="auto" w:fill="auto"/>
            <w:noWrap/>
            <w:vAlign w:val="bottom"/>
            <w:hideMark/>
          </w:tcPr>
          <w:p w14:paraId="5136556F" w14:textId="77777777" w:rsidR="0062711B" w:rsidRPr="0062711B" w:rsidRDefault="0062711B" w:rsidP="0062711B">
            <w:pPr>
              <w:spacing w:after="0" w:line="240" w:lineRule="auto"/>
              <w:rPr>
                <w:rFonts w:ascii="Times New Roman" w:eastAsia="Times New Roman" w:hAnsi="Times New Roman" w:cs="Times New Roman"/>
                <w:sz w:val="20"/>
                <w:szCs w:val="20"/>
              </w:rPr>
            </w:pPr>
          </w:p>
        </w:tc>
        <w:tc>
          <w:tcPr>
            <w:tcW w:w="3236" w:type="dxa"/>
            <w:tcBorders>
              <w:top w:val="nil"/>
              <w:left w:val="nil"/>
              <w:bottom w:val="nil"/>
              <w:right w:val="nil"/>
            </w:tcBorders>
            <w:shd w:val="clear" w:color="auto" w:fill="auto"/>
            <w:noWrap/>
            <w:vAlign w:val="bottom"/>
            <w:hideMark/>
          </w:tcPr>
          <w:p w14:paraId="2C785872" w14:textId="77777777" w:rsidR="0062711B" w:rsidRPr="0062711B" w:rsidRDefault="0062711B" w:rsidP="0062711B">
            <w:pPr>
              <w:spacing w:after="0" w:line="240" w:lineRule="auto"/>
              <w:rPr>
                <w:rFonts w:ascii="Times New Roman" w:eastAsia="Times New Roman" w:hAnsi="Times New Roman" w:cs="Times New Roman"/>
                <w:sz w:val="20"/>
                <w:szCs w:val="20"/>
              </w:rPr>
            </w:pPr>
          </w:p>
        </w:tc>
        <w:tc>
          <w:tcPr>
            <w:tcW w:w="3236" w:type="dxa"/>
            <w:tcBorders>
              <w:top w:val="nil"/>
              <w:left w:val="nil"/>
              <w:bottom w:val="nil"/>
              <w:right w:val="nil"/>
            </w:tcBorders>
            <w:shd w:val="clear" w:color="auto" w:fill="auto"/>
            <w:noWrap/>
            <w:vAlign w:val="bottom"/>
            <w:hideMark/>
          </w:tcPr>
          <w:p w14:paraId="1FE5CE14" w14:textId="77777777" w:rsidR="0062711B" w:rsidRPr="0062711B" w:rsidRDefault="0062711B" w:rsidP="0062711B">
            <w:pPr>
              <w:spacing w:after="0" w:line="240" w:lineRule="auto"/>
              <w:rPr>
                <w:rFonts w:ascii="Times New Roman" w:eastAsia="Times New Roman" w:hAnsi="Times New Roman" w:cs="Times New Roman"/>
                <w:sz w:val="20"/>
                <w:szCs w:val="20"/>
              </w:rPr>
            </w:pPr>
          </w:p>
        </w:tc>
      </w:tr>
      <w:tr w:rsidR="0062711B" w:rsidRPr="0062711B" w14:paraId="63FCF79D" w14:textId="77777777" w:rsidTr="00AA5F51">
        <w:trPr>
          <w:trHeight w:val="315"/>
        </w:trPr>
        <w:tc>
          <w:tcPr>
            <w:tcW w:w="19826" w:type="dxa"/>
            <w:tcBorders>
              <w:top w:val="nil"/>
              <w:left w:val="nil"/>
              <w:bottom w:val="nil"/>
              <w:right w:val="nil"/>
            </w:tcBorders>
            <w:shd w:val="clear" w:color="auto" w:fill="auto"/>
            <w:noWrap/>
            <w:vAlign w:val="bottom"/>
            <w:hideMark/>
          </w:tcPr>
          <w:p w14:paraId="2F2620A6" w14:textId="77777777" w:rsidR="0062711B" w:rsidRPr="0062711B" w:rsidRDefault="0062711B" w:rsidP="0062711B">
            <w:pPr>
              <w:spacing w:after="0" w:line="240" w:lineRule="auto"/>
              <w:rPr>
                <w:rFonts w:ascii="Times New Roman" w:eastAsia="Times New Roman" w:hAnsi="Times New Roman" w:cs="Times New Roman"/>
                <w:sz w:val="20"/>
                <w:szCs w:val="20"/>
              </w:rPr>
            </w:pPr>
          </w:p>
        </w:tc>
        <w:tc>
          <w:tcPr>
            <w:tcW w:w="3236" w:type="dxa"/>
            <w:tcBorders>
              <w:top w:val="nil"/>
              <w:left w:val="nil"/>
              <w:bottom w:val="nil"/>
              <w:right w:val="nil"/>
            </w:tcBorders>
            <w:shd w:val="clear" w:color="auto" w:fill="auto"/>
            <w:noWrap/>
            <w:vAlign w:val="bottom"/>
            <w:hideMark/>
          </w:tcPr>
          <w:p w14:paraId="64BF43BD" w14:textId="77777777" w:rsidR="0062711B" w:rsidRPr="0062711B" w:rsidRDefault="0062711B" w:rsidP="0062711B">
            <w:pPr>
              <w:spacing w:after="0" w:line="240" w:lineRule="auto"/>
              <w:rPr>
                <w:rFonts w:ascii="Times New Roman" w:eastAsia="Times New Roman" w:hAnsi="Times New Roman" w:cs="Times New Roman"/>
                <w:sz w:val="20"/>
                <w:szCs w:val="20"/>
              </w:rPr>
            </w:pPr>
          </w:p>
        </w:tc>
        <w:tc>
          <w:tcPr>
            <w:tcW w:w="3236" w:type="dxa"/>
            <w:tcBorders>
              <w:top w:val="nil"/>
              <w:left w:val="nil"/>
              <w:bottom w:val="nil"/>
              <w:right w:val="nil"/>
            </w:tcBorders>
            <w:shd w:val="clear" w:color="auto" w:fill="auto"/>
            <w:noWrap/>
            <w:vAlign w:val="bottom"/>
            <w:hideMark/>
          </w:tcPr>
          <w:p w14:paraId="189695C9" w14:textId="77777777" w:rsidR="0062711B" w:rsidRPr="0062711B" w:rsidRDefault="0062711B" w:rsidP="0062711B">
            <w:pPr>
              <w:spacing w:after="0" w:line="240" w:lineRule="auto"/>
              <w:rPr>
                <w:rFonts w:ascii="Times New Roman" w:eastAsia="Times New Roman" w:hAnsi="Times New Roman" w:cs="Times New Roman"/>
                <w:sz w:val="20"/>
                <w:szCs w:val="20"/>
              </w:rPr>
            </w:pPr>
          </w:p>
        </w:tc>
      </w:tr>
      <w:tr w:rsidR="0062711B" w:rsidRPr="0062711B" w14:paraId="0BBD77C1" w14:textId="77777777" w:rsidTr="00AA5F51">
        <w:trPr>
          <w:trHeight w:val="315"/>
        </w:trPr>
        <w:tc>
          <w:tcPr>
            <w:tcW w:w="19826" w:type="dxa"/>
            <w:tcBorders>
              <w:top w:val="nil"/>
              <w:left w:val="nil"/>
              <w:bottom w:val="nil"/>
              <w:right w:val="nil"/>
            </w:tcBorders>
            <w:shd w:val="clear" w:color="auto" w:fill="auto"/>
            <w:noWrap/>
            <w:vAlign w:val="bottom"/>
            <w:hideMark/>
          </w:tcPr>
          <w:p w14:paraId="7AB439B1" w14:textId="77777777" w:rsidR="0062711B" w:rsidRPr="0062711B" w:rsidRDefault="0062711B" w:rsidP="0062711B">
            <w:pPr>
              <w:spacing w:after="0" w:line="240" w:lineRule="auto"/>
              <w:rPr>
                <w:rFonts w:ascii="Times New Roman" w:eastAsia="Times New Roman" w:hAnsi="Times New Roman" w:cs="Times New Roman"/>
                <w:sz w:val="20"/>
                <w:szCs w:val="20"/>
              </w:rPr>
            </w:pPr>
          </w:p>
        </w:tc>
        <w:tc>
          <w:tcPr>
            <w:tcW w:w="3236" w:type="dxa"/>
            <w:tcBorders>
              <w:top w:val="nil"/>
              <w:left w:val="nil"/>
              <w:bottom w:val="nil"/>
              <w:right w:val="nil"/>
            </w:tcBorders>
            <w:shd w:val="clear" w:color="auto" w:fill="auto"/>
            <w:noWrap/>
            <w:vAlign w:val="bottom"/>
            <w:hideMark/>
          </w:tcPr>
          <w:p w14:paraId="6F163E93" w14:textId="77777777" w:rsidR="0062711B" w:rsidRPr="0062711B" w:rsidRDefault="0062711B" w:rsidP="0062711B">
            <w:pPr>
              <w:spacing w:after="0" w:line="240" w:lineRule="auto"/>
              <w:rPr>
                <w:rFonts w:ascii="Times New Roman" w:eastAsia="Times New Roman" w:hAnsi="Times New Roman" w:cs="Times New Roman"/>
                <w:sz w:val="20"/>
                <w:szCs w:val="20"/>
              </w:rPr>
            </w:pPr>
          </w:p>
        </w:tc>
        <w:tc>
          <w:tcPr>
            <w:tcW w:w="3236" w:type="dxa"/>
            <w:tcBorders>
              <w:top w:val="nil"/>
              <w:left w:val="nil"/>
              <w:bottom w:val="nil"/>
              <w:right w:val="nil"/>
            </w:tcBorders>
            <w:shd w:val="clear" w:color="auto" w:fill="auto"/>
            <w:noWrap/>
            <w:vAlign w:val="bottom"/>
            <w:hideMark/>
          </w:tcPr>
          <w:p w14:paraId="436B703C" w14:textId="77777777" w:rsidR="0062711B" w:rsidRPr="0062711B" w:rsidRDefault="0062711B" w:rsidP="0062711B">
            <w:pPr>
              <w:spacing w:after="0" w:line="240" w:lineRule="auto"/>
              <w:rPr>
                <w:rFonts w:ascii="Times New Roman" w:eastAsia="Times New Roman" w:hAnsi="Times New Roman" w:cs="Times New Roman"/>
                <w:sz w:val="20"/>
                <w:szCs w:val="20"/>
              </w:rPr>
            </w:pPr>
          </w:p>
        </w:tc>
      </w:tr>
      <w:tr w:rsidR="0062711B" w:rsidRPr="0062711B" w14:paraId="0853256B" w14:textId="77777777" w:rsidTr="00AA5F51">
        <w:trPr>
          <w:trHeight w:val="315"/>
        </w:trPr>
        <w:tc>
          <w:tcPr>
            <w:tcW w:w="19826" w:type="dxa"/>
            <w:tcBorders>
              <w:top w:val="nil"/>
              <w:left w:val="nil"/>
              <w:bottom w:val="nil"/>
              <w:right w:val="nil"/>
            </w:tcBorders>
            <w:shd w:val="clear" w:color="auto" w:fill="auto"/>
            <w:noWrap/>
            <w:vAlign w:val="bottom"/>
            <w:hideMark/>
          </w:tcPr>
          <w:p w14:paraId="7EA7E54D" w14:textId="77777777" w:rsidR="0062711B" w:rsidRPr="0062711B" w:rsidRDefault="0062711B" w:rsidP="0062711B">
            <w:pPr>
              <w:spacing w:after="0" w:line="240" w:lineRule="auto"/>
              <w:rPr>
                <w:rFonts w:ascii="Times New Roman" w:eastAsia="Times New Roman" w:hAnsi="Times New Roman" w:cs="Times New Roman"/>
                <w:sz w:val="20"/>
                <w:szCs w:val="20"/>
              </w:rPr>
            </w:pPr>
          </w:p>
        </w:tc>
        <w:tc>
          <w:tcPr>
            <w:tcW w:w="3236" w:type="dxa"/>
            <w:tcBorders>
              <w:top w:val="nil"/>
              <w:left w:val="nil"/>
              <w:bottom w:val="nil"/>
              <w:right w:val="nil"/>
            </w:tcBorders>
            <w:shd w:val="clear" w:color="auto" w:fill="auto"/>
            <w:noWrap/>
            <w:vAlign w:val="bottom"/>
            <w:hideMark/>
          </w:tcPr>
          <w:p w14:paraId="0A14B20A" w14:textId="77777777" w:rsidR="0062711B" w:rsidRPr="0062711B" w:rsidRDefault="0062711B" w:rsidP="0062711B">
            <w:pPr>
              <w:spacing w:after="0" w:line="240" w:lineRule="auto"/>
              <w:rPr>
                <w:rFonts w:ascii="Times New Roman" w:eastAsia="Times New Roman" w:hAnsi="Times New Roman" w:cs="Times New Roman"/>
                <w:sz w:val="20"/>
                <w:szCs w:val="20"/>
              </w:rPr>
            </w:pPr>
          </w:p>
        </w:tc>
        <w:tc>
          <w:tcPr>
            <w:tcW w:w="3236" w:type="dxa"/>
            <w:tcBorders>
              <w:top w:val="nil"/>
              <w:left w:val="nil"/>
              <w:bottom w:val="nil"/>
              <w:right w:val="nil"/>
            </w:tcBorders>
            <w:shd w:val="clear" w:color="auto" w:fill="auto"/>
            <w:noWrap/>
            <w:vAlign w:val="bottom"/>
            <w:hideMark/>
          </w:tcPr>
          <w:p w14:paraId="56FECEDF" w14:textId="77777777" w:rsidR="0062711B" w:rsidRPr="0062711B" w:rsidRDefault="0062711B" w:rsidP="0062711B">
            <w:pPr>
              <w:spacing w:after="0" w:line="240" w:lineRule="auto"/>
              <w:rPr>
                <w:rFonts w:ascii="Times New Roman" w:eastAsia="Times New Roman" w:hAnsi="Times New Roman" w:cs="Times New Roman"/>
                <w:sz w:val="20"/>
                <w:szCs w:val="20"/>
              </w:rPr>
            </w:pPr>
          </w:p>
        </w:tc>
      </w:tr>
      <w:tr w:rsidR="0062711B" w:rsidRPr="0062711B" w14:paraId="3AD74F72" w14:textId="77777777" w:rsidTr="00AA5F51">
        <w:trPr>
          <w:trHeight w:val="315"/>
        </w:trPr>
        <w:tc>
          <w:tcPr>
            <w:tcW w:w="19826" w:type="dxa"/>
            <w:tcBorders>
              <w:top w:val="nil"/>
              <w:left w:val="nil"/>
              <w:bottom w:val="nil"/>
              <w:right w:val="nil"/>
            </w:tcBorders>
            <w:shd w:val="clear" w:color="auto" w:fill="auto"/>
            <w:noWrap/>
            <w:vAlign w:val="bottom"/>
            <w:hideMark/>
          </w:tcPr>
          <w:p w14:paraId="78CF3CA1" w14:textId="77777777" w:rsidR="0062711B" w:rsidRPr="0062711B" w:rsidRDefault="001A4BB7" w:rsidP="00A77289">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tc>
        <w:tc>
          <w:tcPr>
            <w:tcW w:w="3236" w:type="dxa"/>
            <w:tcBorders>
              <w:top w:val="nil"/>
              <w:left w:val="nil"/>
              <w:bottom w:val="nil"/>
              <w:right w:val="nil"/>
            </w:tcBorders>
            <w:shd w:val="clear" w:color="auto" w:fill="auto"/>
            <w:noWrap/>
            <w:vAlign w:val="bottom"/>
            <w:hideMark/>
          </w:tcPr>
          <w:p w14:paraId="4155E69F" w14:textId="77777777" w:rsidR="0062711B" w:rsidRPr="0062711B" w:rsidRDefault="0062711B" w:rsidP="0062711B">
            <w:pPr>
              <w:spacing w:after="0" w:line="240" w:lineRule="auto"/>
              <w:rPr>
                <w:rFonts w:ascii="Times New Roman" w:eastAsia="Times New Roman" w:hAnsi="Times New Roman" w:cs="Times New Roman"/>
                <w:sz w:val="20"/>
                <w:szCs w:val="20"/>
              </w:rPr>
            </w:pPr>
          </w:p>
        </w:tc>
        <w:tc>
          <w:tcPr>
            <w:tcW w:w="3236" w:type="dxa"/>
            <w:tcBorders>
              <w:top w:val="nil"/>
              <w:left w:val="nil"/>
              <w:bottom w:val="nil"/>
              <w:right w:val="nil"/>
            </w:tcBorders>
            <w:shd w:val="clear" w:color="auto" w:fill="auto"/>
            <w:noWrap/>
            <w:vAlign w:val="bottom"/>
            <w:hideMark/>
          </w:tcPr>
          <w:p w14:paraId="177D3E9A" w14:textId="77777777" w:rsidR="0062711B" w:rsidRPr="0062711B" w:rsidRDefault="0062711B" w:rsidP="0062711B">
            <w:pPr>
              <w:spacing w:after="0" w:line="240" w:lineRule="auto"/>
              <w:rPr>
                <w:rFonts w:ascii="Times New Roman" w:eastAsia="Times New Roman" w:hAnsi="Times New Roman" w:cs="Times New Roman"/>
                <w:sz w:val="20"/>
                <w:szCs w:val="20"/>
              </w:rPr>
            </w:pPr>
          </w:p>
        </w:tc>
      </w:tr>
      <w:tr w:rsidR="0062711B" w:rsidRPr="0062711B" w14:paraId="00B7AEE9" w14:textId="77777777" w:rsidTr="00AA5F51">
        <w:trPr>
          <w:trHeight w:val="315"/>
        </w:trPr>
        <w:tc>
          <w:tcPr>
            <w:tcW w:w="19826" w:type="dxa"/>
            <w:tcBorders>
              <w:top w:val="nil"/>
              <w:left w:val="nil"/>
              <w:bottom w:val="nil"/>
              <w:right w:val="nil"/>
            </w:tcBorders>
            <w:shd w:val="clear" w:color="auto" w:fill="auto"/>
            <w:noWrap/>
            <w:vAlign w:val="bottom"/>
          </w:tcPr>
          <w:p w14:paraId="710F9669" w14:textId="77777777" w:rsidR="00D35B31" w:rsidRPr="0062711B" w:rsidRDefault="00D35B31" w:rsidP="0062711B">
            <w:pPr>
              <w:spacing w:after="0" w:line="240" w:lineRule="auto"/>
              <w:rPr>
                <w:rFonts w:ascii="Times New Roman" w:eastAsia="Times New Roman" w:hAnsi="Times New Roman" w:cs="Times New Roman"/>
                <w:sz w:val="20"/>
                <w:szCs w:val="20"/>
              </w:rPr>
            </w:pPr>
          </w:p>
        </w:tc>
        <w:tc>
          <w:tcPr>
            <w:tcW w:w="3236" w:type="dxa"/>
            <w:tcBorders>
              <w:top w:val="nil"/>
              <w:left w:val="nil"/>
              <w:bottom w:val="nil"/>
              <w:right w:val="nil"/>
            </w:tcBorders>
            <w:shd w:val="clear" w:color="auto" w:fill="auto"/>
            <w:noWrap/>
            <w:vAlign w:val="bottom"/>
            <w:hideMark/>
          </w:tcPr>
          <w:p w14:paraId="7E0A3DB7" w14:textId="77777777" w:rsidR="0062711B" w:rsidRPr="0062711B" w:rsidRDefault="0062711B" w:rsidP="0062711B">
            <w:pPr>
              <w:spacing w:after="0" w:line="240" w:lineRule="auto"/>
              <w:rPr>
                <w:rFonts w:ascii="Times New Roman" w:eastAsia="Times New Roman" w:hAnsi="Times New Roman" w:cs="Times New Roman"/>
                <w:sz w:val="20"/>
                <w:szCs w:val="20"/>
              </w:rPr>
            </w:pPr>
          </w:p>
        </w:tc>
        <w:tc>
          <w:tcPr>
            <w:tcW w:w="3236" w:type="dxa"/>
            <w:tcBorders>
              <w:top w:val="nil"/>
              <w:left w:val="nil"/>
              <w:bottom w:val="nil"/>
              <w:right w:val="nil"/>
            </w:tcBorders>
            <w:shd w:val="clear" w:color="auto" w:fill="auto"/>
            <w:noWrap/>
            <w:vAlign w:val="bottom"/>
            <w:hideMark/>
          </w:tcPr>
          <w:p w14:paraId="69EE942F" w14:textId="77777777" w:rsidR="0062711B" w:rsidRPr="0062711B" w:rsidRDefault="0062711B" w:rsidP="0062711B">
            <w:pPr>
              <w:spacing w:after="0" w:line="240" w:lineRule="auto"/>
              <w:rPr>
                <w:rFonts w:ascii="Times New Roman" w:eastAsia="Times New Roman" w:hAnsi="Times New Roman" w:cs="Times New Roman"/>
                <w:sz w:val="20"/>
                <w:szCs w:val="20"/>
              </w:rPr>
            </w:pPr>
          </w:p>
        </w:tc>
      </w:tr>
      <w:tr w:rsidR="0062711B" w:rsidRPr="0062711B" w14:paraId="6150CA94" w14:textId="77777777" w:rsidTr="00B15BCD">
        <w:trPr>
          <w:trHeight w:val="315"/>
        </w:trPr>
        <w:tc>
          <w:tcPr>
            <w:tcW w:w="19826" w:type="dxa"/>
            <w:tcBorders>
              <w:top w:val="nil"/>
              <w:left w:val="nil"/>
              <w:bottom w:val="nil"/>
              <w:right w:val="nil"/>
            </w:tcBorders>
            <w:shd w:val="clear" w:color="auto" w:fill="auto"/>
            <w:noWrap/>
            <w:vAlign w:val="bottom"/>
            <w:hideMark/>
          </w:tcPr>
          <w:p w14:paraId="21BDE056" w14:textId="77777777" w:rsidR="0062711B" w:rsidRDefault="0062711B" w:rsidP="0062711B">
            <w:pPr>
              <w:spacing w:after="0" w:line="240" w:lineRule="auto"/>
              <w:rPr>
                <w:rFonts w:ascii="Times New Roman" w:eastAsia="Times New Roman" w:hAnsi="Times New Roman" w:cs="Times New Roman"/>
                <w:sz w:val="20"/>
                <w:szCs w:val="20"/>
              </w:rPr>
            </w:pPr>
          </w:p>
          <w:p w14:paraId="0C5405DC" w14:textId="77777777" w:rsidR="00B15BCD" w:rsidRDefault="00B15BCD" w:rsidP="0062711B">
            <w:pPr>
              <w:spacing w:after="0" w:line="240" w:lineRule="auto"/>
              <w:rPr>
                <w:rFonts w:ascii="Times New Roman" w:eastAsia="Times New Roman" w:hAnsi="Times New Roman" w:cs="Times New Roman"/>
                <w:sz w:val="20"/>
                <w:szCs w:val="20"/>
              </w:rPr>
            </w:pPr>
          </w:p>
          <w:p w14:paraId="0E7173E6" w14:textId="77777777" w:rsidR="00B15BCD" w:rsidRPr="0062711B" w:rsidRDefault="00B15BCD" w:rsidP="0062711B">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r>
              <w:rPr>
                <w:noProof/>
              </w:rPr>
              <w:drawing>
                <wp:inline distT="0" distB="0" distL="0" distR="0" wp14:anchorId="1F7F85AA" wp14:editId="7A377AEF">
                  <wp:extent cx="5359020" cy="3533490"/>
                  <wp:effectExtent l="0" t="0" r="13335" b="1016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c>
          <w:tcPr>
            <w:tcW w:w="3236" w:type="dxa"/>
            <w:tcBorders>
              <w:top w:val="nil"/>
              <w:left w:val="nil"/>
              <w:bottom w:val="nil"/>
              <w:right w:val="nil"/>
            </w:tcBorders>
            <w:shd w:val="clear" w:color="auto" w:fill="auto"/>
            <w:noWrap/>
            <w:vAlign w:val="bottom"/>
            <w:hideMark/>
          </w:tcPr>
          <w:p w14:paraId="3177E568" w14:textId="77777777" w:rsidR="0062711B" w:rsidRPr="0062711B" w:rsidRDefault="0062711B" w:rsidP="0062711B">
            <w:pPr>
              <w:spacing w:after="0" w:line="240" w:lineRule="auto"/>
              <w:rPr>
                <w:rFonts w:ascii="Times New Roman" w:eastAsia="Times New Roman" w:hAnsi="Times New Roman" w:cs="Times New Roman"/>
                <w:sz w:val="20"/>
                <w:szCs w:val="20"/>
              </w:rPr>
            </w:pPr>
          </w:p>
        </w:tc>
        <w:tc>
          <w:tcPr>
            <w:tcW w:w="3236" w:type="dxa"/>
            <w:tcBorders>
              <w:top w:val="nil"/>
              <w:left w:val="nil"/>
              <w:bottom w:val="nil"/>
              <w:right w:val="nil"/>
            </w:tcBorders>
            <w:shd w:val="clear" w:color="auto" w:fill="auto"/>
            <w:noWrap/>
            <w:vAlign w:val="bottom"/>
            <w:hideMark/>
          </w:tcPr>
          <w:p w14:paraId="5FA8945E" w14:textId="77777777" w:rsidR="0062711B" w:rsidRPr="0062711B" w:rsidRDefault="0062711B" w:rsidP="0062711B">
            <w:pPr>
              <w:spacing w:after="0" w:line="240" w:lineRule="auto"/>
              <w:rPr>
                <w:rFonts w:ascii="Times New Roman" w:eastAsia="Times New Roman" w:hAnsi="Times New Roman" w:cs="Times New Roman"/>
                <w:sz w:val="20"/>
                <w:szCs w:val="20"/>
              </w:rPr>
            </w:pPr>
          </w:p>
        </w:tc>
      </w:tr>
      <w:tr w:rsidR="0062711B" w:rsidRPr="0062711B" w14:paraId="51D8B90C" w14:textId="77777777" w:rsidTr="00AA5F51">
        <w:trPr>
          <w:trHeight w:val="315"/>
        </w:trPr>
        <w:tc>
          <w:tcPr>
            <w:tcW w:w="19826" w:type="dxa"/>
            <w:tcBorders>
              <w:top w:val="nil"/>
              <w:left w:val="nil"/>
              <w:bottom w:val="nil"/>
              <w:right w:val="nil"/>
            </w:tcBorders>
            <w:shd w:val="clear" w:color="auto" w:fill="auto"/>
            <w:noWrap/>
            <w:vAlign w:val="bottom"/>
            <w:hideMark/>
          </w:tcPr>
          <w:p w14:paraId="73786BA0" w14:textId="77777777" w:rsidR="0062711B" w:rsidRPr="0062711B" w:rsidRDefault="00111518" w:rsidP="0062711B">
            <w:pPr>
              <w:spacing w:after="0" w:line="240" w:lineRule="auto"/>
              <w:rPr>
                <w:rFonts w:ascii="Times New Roman" w:eastAsia="Times New Roman" w:hAnsi="Times New Roman" w:cs="Times New Roman"/>
                <w:sz w:val="20"/>
                <w:szCs w:val="20"/>
              </w:rPr>
            </w:pPr>
            <w:r w:rsidRPr="00111518">
              <w:rPr>
                <w:noProof/>
              </w:rPr>
              <w:lastRenderedPageBreak/>
              <w:drawing>
                <wp:anchor distT="0" distB="0" distL="114300" distR="114300" simplePos="0" relativeHeight="251663360" behindDoc="1" locked="0" layoutInCell="1" allowOverlap="1" wp14:anchorId="3D741B29" wp14:editId="2A42C2F2">
                  <wp:simplePos x="0" y="0"/>
                  <wp:positionH relativeFrom="column">
                    <wp:posOffset>650875</wp:posOffset>
                  </wp:positionH>
                  <wp:positionV relativeFrom="paragraph">
                    <wp:posOffset>-7620</wp:posOffset>
                  </wp:positionV>
                  <wp:extent cx="6061710" cy="4032250"/>
                  <wp:effectExtent l="0" t="0" r="0" b="6350"/>
                  <wp:wrapTight wrapText="bothSides">
                    <wp:wrapPolygon edited="0">
                      <wp:start x="0" y="0"/>
                      <wp:lineTo x="0" y="21532"/>
                      <wp:lineTo x="21519" y="21532"/>
                      <wp:lineTo x="21519" y="0"/>
                      <wp:lineTo x="0" y="0"/>
                    </wp:wrapPolygon>
                  </wp:wrapTight>
                  <wp:docPr id="24" name="Picture 24" descr="D:\STATE BUDGET OFFICE\EXPANSION WK ON THE IMBIAMA-YENAGOA AXIS OF THE TOMBIA RD EXPANS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TATE BUDGET OFFICE\EXPANSION WK ON THE IMBIAMA-YENAGOA AXIS OF THE TOMBIA RD EXPANSION.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61710" cy="4032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11518">
              <w:rPr>
                <w:noProof/>
              </w:rPr>
              <w:drawing>
                <wp:anchor distT="0" distB="0" distL="114300" distR="114300" simplePos="0" relativeHeight="251664384" behindDoc="1" locked="0" layoutInCell="1" allowOverlap="1" wp14:anchorId="5E3D8997" wp14:editId="79D45139">
                  <wp:simplePos x="0" y="0"/>
                  <wp:positionH relativeFrom="column">
                    <wp:posOffset>664845</wp:posOffset>
                  </wp:positionH>
                  <wp:positionV relativeFrom="paragraph">
                    <wp:posOffset>5111750</wp:posOffset>
                  </wp:positionV>
                  <wp:extent cx="6196330" cy="4121785"/>
                  <wp:effectExtent l="0" t="0" r="0" b="0"/>
                  <wp:wrapTight wrapText="bothSides">
                    <wp:wrapPolygon edited="0">
                      <wp:start x="0" y="0"/>
                      <wp:lineTo x="0" y="21464"/>
                      <wp:lineTo x="21516" y="21464"/>
                      <wp:lineTo x="21516" y="0"/>
                      <wp:lineTo x="0" y="0"/>
                    </wp:wrapPolygon>
                  </wp:wrapTight>
                  <wp:docPr id="21" name="Picture 21" descr="D:\STATE BUDGET OFFICE\COMPACTING MACHINE ON THE IMIRINGI AXIS OF THE TOMBIA RD EXPANSION W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TATE BUDGET OFFICE\COMPACTING MACHINE ON THE IMIRINGI AXIS OF THE TOMBIA RD EXPANSION WK.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96330" cy="412178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236" w:type="dxa"/>
            <w:tcBorders>
              <w:top w:val="nil"/>
              <w:left w:val="nil"/>
              <w:bottom w:val="nil"/>
              <w:right w:val="nil"/>
            </w:tcBorders>
            <w:shd w:val="clear" w:color="auto" w:fill="auto"/>
            <w:noWrap/>
            <w:vAlign w:val="bottom"/>
            <w:hideMark/>
          </w:tcPr>
          <w:p w14:paraId="6DC5CD7C" w14:textId="77777777" w:rsidR="0062711B" w:rsidRPr="0062711B" w:rsidRDefault="0062711B" w:rsidP="0062711B">
            <w:pPr>
              <w:spacing w:after="0" w:line="240" w:lineRule="auto"/>
              <w:rPr>
                <w:rFonts w:ascii="Times New Roman" w:eastAsia="Times New Roman" w:hAnsi="Times New Roman" w:cs="Times New Roman"/>
                <w:sz w:val="20"/>
                <w:szCs w:val="20"/>
              </w:rPr>
            </w:pPr>
          </w:p>
        </w:tc>
        <w:tc>
          <w:tcPr>
            <w:tcW w:w="3236" w:type="dxa"/>
            <w:tcBorders>
              <w:top w:val="nil"/>
              <w:left w:val="nil"/>
              <w:bottom w:val="nil"/>
              <w:right w:val="nil"/>
            </w:tcBorders>
            <w:shd w:val="clear" w:color="auto" w:fill="auto"/>
            <w:noWrap/>
            <w:vAlign w:val="bottom"/>
            <w:hideMark/>
          </w:tcPr>
          <w:p w14:paraId="586911B2" w14:textId="77777777" w:rsidR="0062711B" w:rsidRPr="0062711B" w:rsidRDefault="0062711B" w:rsidP="0062711B">
            <w:pPr>
              <w:spacing w:after="0" w:line="240" w:lineRule="auto"/>
              <w:rPr>
                <w:rFonts w:ascii="Times New Roman" w:eastAsia="Times New Roman" w:hAnsi="Times New Roman" w:cs="Times New Roman"/>
                <w:sz w:val="20"/>
                <w:szCs w:val="20"/>
              </w:rPr>
            </w:pPr>
          </w:p>
        </w:tc>
      </w:tr>
      <w:tr w:rsidR="0062711B" w:rsidRPr="0062711B" w14:paraId="61D3337D" w14:textId="77777777" w:rsidTr="00AA5F51">
        <w:trPr>
          <w:trHeight w:val="315"/>
        </w:trPr>
        <w:tc>
          <w:tcPr>
            <w:tcW w:w="19826" w:type="dxa"/>
            <w:tcBorders>
              <w:top w:val="nil"/>
              <w:left w:val="nil"/>
              <w:bottom w:val="nil"/>
              <w:right w:val="nil"/>
            </w:tcBorders>
            <w:shd w:val="clear" w:color="auto" w:fill="auto"/>
            <w:noWrap/>
            <w:vAlign w:val="bottom"/>
            <w:hideMark/>
          </w:tcPr>
          <w:p w14:paraId="023FE3F8" w14:textId="77777777" w:rsidR="0062711B" w:rsidRDefault="008A42CB" w:rsidP="0062711B">
            <w:pPr>
              <w:spacing w:after="0" w:line="240" w:lineRule="auto"/>
              <w:rPr>
                <w:rFonts w:ascii="Times New Roman" w:eastAsia="Times New Roman" w:hAnsi="Times New Roman" w:cs="Times New Roman"/>
                <w:sz w:val="20"/>
                <w:szCs w:val="20"/>
              </w:rPr>
            </w:pPr>
            <w:r w:rsidRPr="00111518">
              <w:rPr>
                <w:noProof/>
              </w:rPr>
              <w:lastRenderedPageBreak/>
              <w:drawing>
                <wp:anchor distT="0" distB="0" distL="114300" distR="114300" simplePos="0" relativeHeight="251665408" behindDoc="1" locked="0" layoutInCell="1" allowOverlap="1" wp14:anchorId="613D0312" wp14:editId="7CABC40B">
                  <wp:simplePos x="0" y="0"/>
                  <wp:positionH relativeFrom="column">
                    <wp:posOffset>664845</wp:posOffset>
                  </wp:positionH>
                  <wp:positionV relativeFrom="paragraph">
                    <wp:posOffset>-635</wp:posOffset>
                  </wp:positionV>
                  <wp:extent cx="5927725" cy="3942715"/>
                  <wp:effectExtent l="0" t="0" r="0" b="635"/>
                  <wp:wrapTight wrapText="bothSides">
                    <wp:wrapPolygon edited="0">
                      <wp:start x="0" y="0"/>
                      <wp:lineTo x="0" y="21499"/>
                      <wp:lineTo x="21519" y="21499"/>
                      <wp:lineTo x="21519" y="0"/>
                      <wp:lineTo x="0" y="0"/>
                    </wp:wrapPolygon>
                  </wp:wrapTight>
                  <wp:docPr id="23" name="Picture 23" descr="D:\STATE BUDGET OFFICE\CULVERT WK ON THE IMBIAMA-YENAGOA AXIS OF THE TOMBIA RD EXPANS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TATE BUDGET OFFICE\CULVERT WK ON THE IMBIAMA-YENAGOA AXIS OF THE TOMBIA RD EXPANSION.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27725" cy="39427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8195611" w14:textId="77777777" w:rsidR="00D35B31" w:rsidRDefault="001A4BB7" w:rsidP="0062711B">
            <w:pPr>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p w14:paraId="2F07B421" w14:textId="77777777" w:rsidR="00D35B31" w:rsidRDefault="00D35B31" w:rsidP="0062711B">
            <w:pPr>
              <w:spacing w:after="0" w:line="240" w:lineRule="auto"/>
              <w:rPr>
                <w:rFonts w:ascii="Times New Roman" w:eastAsia="Times New Roman" w:hAnsi="Times New Roman" w:cs="Times New Roman"/>
                <w:sz w:val="20"/>
                <w:szCs w:val="20"/>
              </w:rPr>
            </w:pPr>
          </w:p>
          <w:p w14:paraId="55961A52" w14:textId="77777777" w:rsidR="00D35B31" w:rsidRDefault="00D35B31" w:rsidP="0062711B">
            <w:pPr>
              <w:spacing w:after="0" w:line="240" w:lineRule="auto"/>
              <w:rPr>
                <w:rFonts w:ascii="Times New Roman" w:eastAsia="Times New Roman" w:hAnsi="Times New Roman" w:cs="Times New Roman"/>
                <w:sz w:val="20"/>
                <w:szCs w:val="20"/>
              </w:rPr>
            </w:pPr>
          </w:p>
          <w:p w14:paraId="7A7CAECD" w14:textId="77777777" w:rsidR="00D35B31" w:rsidRDefault="00D35B31" w:rsidP="0062711B">
            <w:pPr>
              <w:spacing w:after="0" w:line="240" w:lineRule="auto"/>
              <w:rPr>
                <w:rFonts w:ascii="Times New Roman" w:eastAsia="Times New Roman" w:hAnsi="Times New Roman" w:cs="Times New Roman"/>
                <w:sz w:val="20"/>
                <w:szCs w:val="20"/>
              </w:rPr>
            </w:pPr>
          </w:p>
          <w:p w14:paraId="1C4AE7B6" w14:textId="77777777" w:rsidR="00D35B31" w:rsidRDefault="00D35B31" w:rsidP="0062711B">
            <w:pPr>
              <w:spacing w:after="0" w:line="240" w:lineRule="auto"/>
              <w:rPr>
                <w:rFonts w:ascii="Times New Roman" w:eastAsia="Times New Roman" w:hAnsi="Times New Roman" w:cs="Times New Roman"/>
                <w:sz w:val="20"/>
                <w:szCs w:val="20"/>
              </w:rPr>
            </w:pPr>
          </w:p>
          <w:p w14:paraId="00A7E0B3" w14:textId="77777777" w:rsidR="00D35B31" w:rsidRPr="0062711B" w:rsidRDefault="00D35B31" w:rsidP="0062711B">
            <w:pPr>
              <w:spacing w:after="0" w:line="240" w:lineRule="auto"/>
              <w:rPr>
                <w:rFonts w:ascii="Times New Roman" w:eastAsia="Times New Roman" w:hAnsi="Times New Roman" w:cs="Times New Roman"/>
                <w:sz w:val="20"/>
                <w:szCs w:val="20"/>
              </w:rPr>
            </w:pPr>
          </w:p>
        </w:tc>
        <w:tc>
          <w:tcPr>
            <w:tcW w:w="3236" w:type="dxa"/>
            <w:tcBorders>
              <w:top w:val="nil"/>
              <w:left w:val="nil"/>
              <w:bottom w:val="nil"/>
              <w:right w:val="nil"/>
            </w:tcBorders>
            <w:shd w:val="clear" w:color="auto" w:fill="auto"/>
            <w:noWrap/>
            <w:vAlign w:val="bottom"/>
            <w:hideMark/>
          </w:tcPr>
          <w:p w14:paraId="4363F39E" w14:textId="77777777" w:rsidR="0062711B" w:rsidRPr="0062711B" w:rsidRDefault="0062711B" w:rsidP="0062711B">
            <w:pPr>
              <w:spacing w:after="0" w:line="240" w:lineRule="auto"/>
              <w:rPr>
                <w:rFonts w:ascii="Times New Roman" w:eastAsia="Times New Roman" w:hAnsi="Times New Roman" w:cs="Times New Roman"/>
                <w:sz w:val="20"/>
                <w:szCs w:val="20"/>
              </w:rPr>
            </w:pPr>
          </w:p>
        </w:tc>
        <w:tc>
          <w:tcPr>
            <w:tcW w:w="3236" w:type="dxa"/>
            <w:tcBorders>
              <w:top w:val="nil"/>
              <w:left w:val="nil"/>
              <w:bottom w:val="nil"/>
              <w:right w:val="nil"/>
            </w:tcBorders>
            <w:shd w:val="clear" w:color="auto" w:fill="auto"/>
            <w:noWrap/>
            <w:vAlign w:val="bottom"/>
            <w:hideMark/>
          </w:tcPr>
          <w:p w14:paraId="6C85BDE7" w14:textId="77777777" w:rsidR="0062711B" w:rsidRPr="0062711B" w:rsidRDefault="0062711B" w:rsidP="0062711B">
            <w:pPr>
              <w:spacing w:after="0" w:line="240" w:lineRule="auto"/>
              <w:rPr>
                <w:rFonts w:ascii="Times New Roman" w:eastAsia="Times New Roman" w:hAnsi="Times New Roman" w:cs="Times New Roman"/>
                <w:sz w:val="20"/>
                <w:szCs w:val="20"/>
              </w:rPr>
            </w:pPr>
          </w:p>
        </w:tc>
      </w:tr>
    </w:tbl>
    <w:p w14:paraId="7E6B23E3" w14:textId="77777777" w:rsidR="00A2182E" w:rsidRDefault="00B30C20">
      <w:pPr>
        <w:rPr>
          <w:noProof/>
        </w:rPr>
      </w:pPr>
      <w:r w:rsidRPr="00111518">
        <w:rPr>
          <w:noProof/>
        </w:rPr>
        <w:drawing>
          <wp:anchor distT="0" distB="0" distL="114300" distR="114300" simplePos="0" relativeHeight="251666432" behindDoc="1" locked="0" layoutInCell="1" allowOverlap="1" wp14:anchorId="648CD986" wp14:editId="0A81C984">
            <wp:simplePos x="0" y="0"/>
            <wp:positionH relativeFrom="column">
              <wp:posOffset>-38433</wp:posOffset>
            </wp:positionH>
            <wp:positionV relativeFrom="paragraph">
              <wp:posOffset>659494</wp:posOffset>
            </wp:positionV>
            <wp:extent cx="5769755" cy="3838200"/>
            <wp:effectExtent l="0" t="0" r="2540" b="0"/>
            <wp:wrapTight wrapText="bothSides">
              <wp:wrapPolygon edited="0">
                <wp:start x="0" y="0"/>
                <wp:lineTo x="0" y="21443"/>
                <wp:lineTo x="21538" y="21443"/>
                <wp:lineTo x="21538" y="0"/>
                <wp:lineTo x="0" y="0"/>
              </wp:wrapPolygon>
            </wp:wrapTight>
            <wp:docPr id="22" name="Picture 22" descr="D:\STATE BUDGET OFFICE\CULVERT WK AT TOMBIA-IMIRINGI RD BY RUTHMOR HOTEL JUNC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TATE BUDGET OFFICE\CULVERT WK AT TOMBIA-IMIRINGI RD BY RUTHMOR HOTEL JUNCTION.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9755" cy="3838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D5E66">
        <w:br w:type="page"/>
      </w:r>
    </w:p>
    <w:p w14:paraId="6F4CC7BA" w14:textId="77777777" w:rsidR="00515A68" w:rsidRDefault="00956AA6">
      <w:pPr>
        <w:rPr>
          <w:noProof/>
          <w:sz w:val="16"/>
        </w:rPr>
      </w:pPr>
      <w:r>
        <w:rPr>
          <w:noProof/>
        </w:rPr>
        <w:lastRenderedPageBreak/>
        <w:pict w14:anchorId="301C8CA5">
          <v:shape id="_x0000_s1028" type="#_x0000_t75" style="position:absolute;margin-left:-5.9pt;margin-top:358.55pt;width:457.95pt;height:304.5pt;z-index:-251645952;mso-position-horizontal-relative:text;mso-position-vertical-relative:text" wrapcoords="-35 0 -35 21547 21600 21547 21600 0 -35 0">
            <v:imagedata r:id="rId29" o:title="GRADING WK ON THE IMIRINGI AXIS OF THE TOMBIA EXPANSION RD WK"/>
            <w10:wrap type="tight"/>
          </v:shape>
        </w:pict>
      </w:r>
      <w:r>
        <w:rPr>
          <w:noProof/>
        </w:rPr>
        <w:pict w14:anchorId="524C588D">
          <v:shape id="_x0000_s1027" type="#_x0000_t75" style="position:absolute;margin-left:0;margin-top:-1.15pt;width:457.95pt;height:304.5pt;z-index:-251648000;mso-position-horizontal:absolute;mso-position-horizontal-relative:text;mso-position-vertical:absolute;mso-position-vertical-relative:text" wrapcoords="-35 0 -35 21547 21600 21547 21600 0 -35 0">
            <v:imagedata r:id="rId30" o:title="GRADER WORKING  AT THE TOMBIA EXPANSION PROJECT"/>
            <w10:wrap type="tight"/>
          </v:shape>
        </w:pict>
      </w:r>
    </w:p>
    <w:p w14:paraId="6F972BF8" w14:textId="77777777" w:rsidR="00515A68" w:rsidRDefault="00515A68">
      <w:pPr>
        <w:rPr>
          <w:noProof/>
          <w:sz w:val="16"/>
        </w:rPr>
      </w:pPr>
      <w:r>
        <w:rPr>
          <w:noProof/>
          <w:sz w:val="16"/>
        </w:rPr>
        <w:br w:type="page"/>
      </w:r>
    </w:p>
    <w:p w14:paraId="157EBD9C" w14:textId="77777777" w:rsidR="009B768B" w:rsidRDefault="00956AA6">
      <w:r>
        <w:rPr>
          <w:noProof/>
        </w:rPr>
        <w:lastRenderedPageBreak/>
        <w:pict w14:anchorId="55EE056B">
          <v:shape id="_x0000_s1029" type="#_x0000_t75" style="position:absolute;margin-left:0;margin-top:354.45pt;width:457.95pt;height:304.5pt;z-index:-251643904;mso-position-horizontal-relative:text;mso-position-vertical-relative:text" wrapcoords="-35 0 -35 21547 21600 21547 21600 0 -35 0">
            <v:imagedata r:id="rId31" o:title="KEBB STONE WK AT TOMBIA RD EXTENSION"/>
            <w10:wrap type="tight"/>
          </v:shape>
        </w:pict>
      </w:r>
      <w:r>
        <w:rPr>
          <w:noProof/>
        </w:rPr>
        <w:pict w14:anchorId="2752BECD">
          <v:shape id="_x0000_s1030" type="#_x0000_t75" style="position:absolute;margin-left:0;margin-top:.25pt;width:457.95pt;height:304.5pt;z-index:-251641856;mso-position-horizontal-relative:text;mso-position-vertical-relative:text" wrapcoords="-35 0 -35 21547 21600 21547 21600 0 -35 0">
            <v:imagedata r:id="rId32" o:title="ROLLER &amp; GRADER WORKING ON THE TOMBIA EXPANSION RD WK"/>
            <w10:wrap type="tight"/>
          </v:shape>
        </w:pict>
      </w:r>
      <w:r w:rsidR="00515A68">
        <w:br w:type="page"/>
      </w:r>
    </w:p>
    <w:p w14:paraId="3A3CCE88" w14:textId="77777777" w:rsidR="009B768B" w:rsidRDefault="00956AA6">
      <w:r>
        <w:rPr>
          <w:noProof/>
        </w:rPr>
        <w:lastRenderedPageBreak/>
        <w:pict w14:anchorId="2C6E8BA6">
          <v:shape id="_x0000_s1031" type="#_x0000_t75" style="position:absolute;margin-left:0;margin-top:0;width:459.7pt;height:304.6pt;z-index:-251639808;mso-position-horizontal-relative:text;mso-position-vertical-relative:text" wrapcoords="-35 0 -35 21547 21600 21547 21600 0 -35 0">
            <v:imagedata r:id="rId33" o:title="SHORE PROTECTION BEHIND SNR STAFF QUARTS"/>
            <w10:wrap type="tight"/>
          </v:shape>
        </w:pict>
      </w:r>
    </w:p>
    <w:p w14:paraId="49CC0E79" w14:textId="77777777" w:rsidR="00515A68" w:rsidRDefault="00956AA6">
      <w:r>
        <w:rPr>
          <w:noProof/>
        </w:rPr>
        <w:pict w14:anchorId="27F03C98">
          <v:shape id="_x0000_s1032" type="#_x0000_t75" style="position:absolute;margin-left:0;margin-top:4.15pt;width:459.7pt;height:304.6pt;z-index:-251637760;mso-position-horizontal-relative:text;mso-position-vertical-relative:text" wrapcoords="-35 0 -35 21547 21600 21547 21600 0 -35 0">
            <v:imagedata r:id="rId32" o:title="ROLLER &amp; GRADER WORKING ON THE TOMBIA EXPANSION RD WK"/>
            <w10:wrap type="tight"/>
          </v:shape>
        </w:pict>
      </w:r>
    </w:p>
    <w:p w14:paraId="34541458" w14:textId="77777777" w:rsidR="0048530F" w:rsidRDefault="0048530F">
      <w:pPr>
        <w:rPr>
          <w:noProof/>
          <w:sz w:val="16"/>
        </w:rPr>
      </w:pPr>
    </w:p>
    <w:p w14:paraId="189D4C63" w14:textId="77777777" w:rsidR="00663F73" w:rsidRDefault="00663F73">
      <w:pPr>
        <w:rPr>
          <w:noProof/>
          <w:sz w:val="16"/>
        </w:rPr>
      </w:pPr>
    </w:p>
    <w:p w14:paraId="65883254" w14:textId="77777777" w:rsidR="00663F73" w:rsidRPr="00CC2C5D" w:rsidRDefault="00663F73" w:rsidP="00663F73">
      <w:pPr>
        <w:spacing w:after="0" w:line="360" w:lineRule="auto"/>
        <w:rPr>
          <w:rFonts w:ascii="Times New Roman" w:hAnsi="Times New Roman" w:cs="Times New Roman"/>
          <w:b/>
          <w:sz w:val="28"/>
          <w:szCs w:val="28"/>
        </w:rPr>
      </w:pPr>
    </w:p>
    <w:p w14:paraId="34FF9B7B" w14:textId="77777777" w:rsidR="00663F73" w:rsidRPr="00CC2C5D" w:rsidRDefault="00663F73" w:rsidP="00663F73">
      <w:pPr>
        <w:spacing w:after="0" w:line="360" w:lineRule="auto"/>
        <w:rPr>
          <w:rFonts w:ascii="Times New Roman" w:hAnsi="Times New Roman" w:cs="Times New Roman"/>
          <w:b/>
          <w:sz w:val="28"/>
          <w:szCs w:val="28"/>
        </w:rPr>
      </w:pPr>
      <w:r w:rsidRPr="00CC2C5D">
        <w:rPr>
          <w:rFonts w:ascii="Times New Roman" w:hAnsi="Times New Roman" w:cs="Times New Roman"/>
          <w:b/>
          <w:sz w:val="28"/>
          <w:szCs w:val="28"/>
        </w:rPr>
        <w:t>SIGNIFICANT MEW MEASURES</w:t>
      </w:r>
    </w:p>
    <w:p w14:paraId="4CFC84CA" w14:textId="77777777" w:rsidR="00663F73" w:rsidRPr="00CC2C5D" w:rsidRDefault="00663F73" w:rsidP="00663F73">
      <w:pPr>
        <w:spacing w:after="0" w:line="360" w:lineRule="auto"/>
        <w:rPr>
          <w:rFonts w:ascii="Times New Roman" w:hAnsi="Times New Roman" w:cs="Times New Roman"/>
          <w:sz w:val="28"/>
          <w:szCs w:val="28"/>
        </w:rPr>
      </w:pPr>
      <w:r w:rsidRPr="00CC2C5D">
        <w:rPr>
          <w:rFonts w:ascii="Times New Roman" w:hAnsi="Times New Roman" w:cs="Times New Roman"/>
          <w:sz w:val="28"/>
          <w:szCs w:val="28"/>
        </w:rPr>
        <w:t xml:space="preserve">A critical look at the 2020 revised Covid-19 Responsive Citizens Budget shows a remarkable down turn in revenue and expenditure. On the revenue side, there is a decrease of 18.2% compared to that of 2019. Total planned revenue for 2019 was </w:t>
      </w:r>
      <w:r w:rsidRPr="00CC2C5D">
        <w:rPr>
          <w:rFonts w:ascii="Times New Roman" w:hAnsi="Times New Roman" w:cs="Times New Roman"/>
          <w:dstrike/>
          <w:sz w:val="28"/>
          <w:szCs w:val="28"/>
        </w:rPr>
        <w:t>N</w:t>
      </w:r>
      <w:r w:rsidRPr="00CC2C5D">
        <w:rPr>
          <w:rFonts w:ascii="Times New Roman" w:hAnsi="Times New Roman" w:cs="Times New Roman"/>
          <w:sz w:val="28"/>
          <w:szCs w:val="28"/>
        </w:rPr>
        <w:t xml:space="preserve">265.132bn, while that of 2020 is </w:t>
      </w:r>
      <w:r w:rsidRPr="00CC2C5D">
        <w:rPr>
          <w:rFonts w:ascii="Times New Roman" w:hAnsi="Times New Roman" w:cs="Times New Roman"/>
          <w:dstrike/>
          <w:sz w:val="28"/>
          <w:szCs w:val="28"/>
        </w:rPr>
        <w:t>N</w:t>
      </w:r>
      <w:r w:rsidRPr="00CC2C5D">
        <w:rPr>
          <w:rFonts w:ascii="Times New Roman" w:hAnsi="Times New Roman" w:cs="Times New Roman"/>
          <w:sz w:val="28"/>
          <w:szCs w:val="28"/>
        </w:rPr>
        <w:t xml:space="preserve">183.156bn, showing a decrease of </w:t>
      </w:r>
      <w:r w:rsidRPr="00CC2C5D">
        <w:rPr>
          <w:rFonts w:ascii="Times New Roman" w:hAnsi="Times New Roman" w:cs="Times New Roman"/>
          <w:dstrike/>
          <w:sz w:val="28"/>
          <w:szCs w:val="28"/>
        </w:rPr>
        <w:t>N</w:t>
      </w:r>
      <w:r w:rsidRPr="00CC2C5D">
        <w:rPr>
          <w:rFonts w:ascii="Times New Roman" w:hAnsi="Times New Roman" w:cs="Times New Roman"/>
          <w:sz w:val="28"/>
          <w:szCs w:val="28"/>
        </w:rPr>
        <w:t>81.979b. At the expenditure side, there is also a decrease of 11.6% when compared to that of 2019. This was as a result of drastic measures taken by the present administration to cut down all spending to reflect the dwindling fall in oil price and global economic lockdown.</w:t>
      </w:r>
    </w:p>
    <w:p w14:paraId="0E7F21B0" w14:textId="77777777" w:rsidR="00663F73" w:rsidRPr="00CC2C5D" w:rsidRDefault="00663F73" w:rsidP="00663F73">
      <w:pPr>
        <w:spacing w:after="0" w:line="360" w:lineRule="auto"/>
        <w:rPr>
          <w:rFonts w:ascii="Times New Roman" w:hAnsi="Times New Roman" w:cs="Times New Roman"/>
          <w:b/>
          <w:sz w:val="28"/>
          <w:szCs w:val="28"/>
        </w:rPr>
      </w:pPr>
      <w:r w:rsidRPr="00CC2C5D">
        <w:rPr>
          <w:rFonts w:ascii="Times New Roman" w:hAnsi="Times New Roman" w:cs="Times New Roman"/>
          <w:b/>
          <w:sz w:val="28"/>
          <w:szCs w:val="28"/>
        </w:rPr>
        <w:t xml:space="preserve">SPECIFIC INFORMATION &amp; INFORMATION ABOUT TARGETED PROGRAMS. </w:t>
      </w:r>
    </w:p>
    <w:p w14:paraId="3E3C0A6B" w14:textId="77777777" w:rsidR="00663F73" w:rsidRPr="00CC2C5D" w:rsidRDefault="00663F73" w:rsidP="00663F73">
      <w:pPr>
        <w:spacing w:after="0" w:line="360" w:lineRule="auto"/>
        <w:ind w:right="420"/>
        <w:rPr>
          <w:rFonts w:ascii="Times New Roman" w:hAnsi="Times New Roman" w:cs="Times New Roman"/>
          <w:sz w:val="28"/>
          <w:szCs w:val="28"/>
        </w:rPr>
      </w:pPr>
      <w:r w:rsidRPr="00CC2C5D">
        <w:rPr>
          <w:rFonts w:ascii="Times New Roman" w:hAnsi="Times New Roman" w:cs="Times New Roman"/>
          <w:sz w:val="28"/>
          <w:szCs w:val="28"/>
        </w:rPr>
        <w:t xml:space="preserve"> Government targeted programs to cushion the effect of Covid-19 Pandemic is poverty eradication with</w:t>
      </w:r>
    </w:p>
    <w:p w14:paraId="20688E87" w14:textId="77777777" w:rsidR="00663F73" w:rsidRDefault="00663F73" w:rsidP="00663F73">
      <w:pPr>
        <w:rPr>
          <w:noProof/>
          <w:sz w:val="16"/>
        </w:rPr>
      </w:pPr>
      <w:r w:rsidRPr="00CC2C5D">
        <w:rPr>
          <w:rFonts w:ascii="Times New Roman" w:hAnsi="Times New Roman" w:cs="Times New Roman"/>
          <w:sz w:val="28"/>
          <w:szCs w:val="28"/>
        </w:rPr>
        <w:t>emphases on Agriculture, interventions in Health care/other areas, and the provision of SMEs. To this end, rigorous public enlightenment programs will be held as well as provision of palliatives in the form of food and cash and starter packs to the vulnerable citizens in order to bring our teeming youth population to a gainful self- employment.</w:t>
      </w:r>
    </w:p>
    <w:p w14:paraId="66309AD8" w14:textId="77777777" w:rsidR="0048530F" w:rsidRDefault="0048530F">
      <w:pPr>
        <w:rPr>
          <w:noProof/>
          <w:sz w:val="16"/>
        </w:rPr>
      </w:pPr>
    </w:p>
    <w:p w14:paraId="71B14D72" w14:textId="77777777" w:rsidR="00663F73" w:rsidRPr="00CC2C5D" w:rsidRDefault="00663F73" w:rsidP="00663F73">
      <w:pPr>
        <w:spacing w:after="0" w:line="360" w:lineRule="auto"/>
        <w:rPr>
          <w:b/>
          <w:sz w:val="28"/>
          <w:szCs w:val="28"/>
        </w:rPr>
      </w:pPr>
      <w:r w:rsidRPr="00CC2C5D">
        <w:rPr>
          <w:b/>
          <w:sz w:val="28"/>
          <w:szCs w:val="28"/>
        </w:rPr>
        <w:t>BUDGET TERMINOLOGY (GLOSSARY)</w:t>
      </w:r>
    </w:p>
    <w:p w14:paraId="39F50DB8" w14:textId="77777777" w:rsidR="00663F73" w:rsidRPr="00CC2C5D" w:rsidRDefault="00663F73" w:rsidP="00663F73">
      <w:pPr>
        <w:spacing w:after="0" w:line="360" w:lineRule="auto"/>
        <w:rPr>
          <w:b/>
          <w:sz w:val="28"/>
          <w:szCs w:val="28"/>
        </w:rPr>
      </w:pPr>
      <w:r w:rsidRPr="00CC2C5D">
        <w:rPr>
          <w:b/>
          <w:sz w:val="28"/>
          <w:szCs w:val="28"/>
        </w:rPr>
        <w:t>Budget</w:t>
      </w:r>
    </w:p>
    <w:p w14:paraId="091C16B3" w14:textId="77777777" w:rsidR="00663F73" w:rsidRPr="00CC2C5D" w:rsidRDefault="00663F73" w:rsidP="00663F73">
      <w:pPr>
        <w:spacing w:after="0" w:line="360" w:lineRule="auto"/>
        <w:rPr>
          <w:sz w:val="28"/>
          <w:szCs w:val="28"/>
        </w:rPr>
      </w:pPr>
      <w:r w:rsidRPr="00CC2C5D">
        <w:rPr>
          <w:sz w:val="28"/>
          <w:szCs w:val="28"/>
        </w:rPr>
        <w:t>Budget is an estimation of revenues and expenditure of the Government over a specific period, usually a year.</w:t>
      </w:r>
    </w:p>
    <w:p w14:paraId="159F961D" w14:textId="77777777" w:rsidR="00663F73" w:rsidRPr="00CC2C5D" w:rsidRDefault="00663F73" w:rsidP="00663F73">
      <w:pPr>
        <w:spacing w:after="0" w:line="360" w:lineRule="auto"/>
        <w:rPr>
          <w:b/>
          <w:sz w:val="28"/>
          <w:szCs w:val="28"/>
        </w:rPr>
      </w:pPr>
      <w:r w:rsidRPr="00CC2C5D">
        <w:rPr>
          <w:b/>
          <w:sz w:val="28"/>
          <w:szCs w:val="28"/>
        </w:rPr>
        <w:t>Citizen Budget</w:t>
      </w:r>
    </w:p>
    <w:p w14:paraId="264E9C25" w14:textId="77777777" w:rsidR="00663F73" w:rsidRDefault="00663F73" w:rsidP="00663F73">
      <w:pPr>
        <w:spacing w:after="0" w:line="360" w:lineRule="auto"/>
        <w:rPr>
          <w:sz w:val="28"/>
          <w:szCs w:val="28"/>
        </w:rPr>
      </w:pPr>
      <w:r w:rsidRPr="00CC2C5D">
        <w:rPr>
          <w:sz w:val="28"/>
          <w:szCs w:val="28"/>
        </w:rPr>
        <w:t>Citizen Budget is a simplified, less technical version of government’s budget specifically designed to present key information that is understandable by the general public.</w:t>
      </w:r>
    </w:p>
    <w:p w14:paraId="30C90777" w14:textId="77777777" w:rsidR="00663F73" w:rsidRPr="00CC2C5D" w:rsidRDefault="00663F73" w:rsidP="00663F73">
      <w:pPr>
        <w:spacing w:after="0" w:line="360" w:lineRule="auto"/>
        <w:rPr>
          <w:sz w:val="28"/>
          <w:szCs w:val="28"/>
        </w:rPr>
      </w:pPr>
    </w:p>
    <w:p w14:paraId="2B3039C5" w14:textId="77777777" w:rsidR="00663F73" w:rsidRPr="00CC2C5D" w:rsidRDefault="00663F73" w:rsidP="00663F73">
      <w:pPr>
        <w:spacing w:after="0" w:line="360" w:lineRule="auto"/>
        <w:rPr>
          <w:b/>
          <w:sz w:val="28"/>
          <w:szCs w:val="28"/>
        </w:rPr>
      </w:pPr>
      <w:r w:rsidRPr="00CC2C5D">
        <w:rPr>
          <w:b/>
          <w:sz w:val="28"/>
          <w:szCs w:val="28"/>
        </w:rPr>
        <w:lastRenderedPageBreak/>
        <w:t>Recurrent Expenditure</w:t>
      </w:r>
    </w:p>
    <w:p w14:paraId="742516BA" w14:textId="77777777" w:rsidR="00663F73" w:rsidRPr="00CC2C5D" w:rsidRDefault="00663F73" w:rsidP="00663F73">
      <w:pPr>
        <w:spacing w:after="0" w:line="360" w:lineRule="auto"/>
        <w:rPr>
          <w:sz w:val="28"/>
          <w:szCs w:val="28"/>
        </w:rPr>
      </w:pPr>
      <w:r w:rsidRPr="00CC2C5D">
        <w:rPr>
          <w:sz w:val="28"/>
          <w:szCs w:val="28"/>
        </w:rPr>
        <w:t xml:space="preserve">Is that part of the total government expenditure meant for monthly payment of salaries of government workers, payment of interest on debt and daily running of Ministries, Departments and Agencies of </w:t>
      </w:r>
      <w:proofErr w:type="gramStart"/>
      <w:r w:rsidRPr="00CC2C5D">
        <w:rPr>
          <w:sz w:val="28"/>
          <w:szCs w:val="28"/>
        </w:rPr>
        <w:t>Government.</w:t>
      </w:r>
      <w:proofErr w:type="gramEnd"/>
    </w:p>
    <w:p w14:paraId="4DE5C772" w14:textId="77777777" w:rsidR="00663F73" w:rsidRPr="00CC2C5D" w:rsidRDefault="00663F73" w:rsidP="00663F73">
      <w:pPr>
        <w:spacing w:after="0" w:line="360" w:lineRule="auto"/>
        <w:rPr>
          <w:b/>
          <w:sz w:val="28"/>
          <w:szCs w:val="28"/>
        </w:rPr>
      </w:pPr>
      <w:r w:rsidRPr="00CC2C5D">
        <w:rPr>
          <w:b/>
          <w:sz w:val="28"/>
          <w:szCs w:val="28"/>
        </w:rPr>
        <w:t>Capital Expenditure</w:t>
      </w:r>
    </w:p>
    <w:p w14:paraId="03212D38" w14:textId="77777777" w:rsidR="00663F73" w:rsidRPr="00CC2C5D" w:rsidRDefault="00663F73" w:rsidP="00663F73">
      <w:pPr>
        <w:spacing w:after="0" w:line="360" w:lineRule="auto"/>
        <w:rPr>
          <w:sz w:val="28"/>
          <w:szCs w:val="28"/>
        </w:rPr>
      </w:pPr>
      <w:r w:rsidRPr="00CC2C5D">
        <w:rPr>
          <w:sz w:val="28"/>
          <w:szCs w:val="28"/>
        </w:rPr>
        <w:t>Is that part of government total expenditures meant for development projects like school</w:t>
      </w:r>
      <w:r>
        <w:rPr>
          <w:sz w:val="28"/>
          <w:szCs w:val="28"/>
        </w:rPr>
        <w:t xml:space="preserve">s, hospitals roads, </w:t>
      </w:r>
      <w:proofErr w:type="spellStart"/>
      <w:r>
        <w:rPr>
          <w:sz w:val="28"/>
          <w:szCs w:val="28"/>
        </w:rPr>
        <w:t>etc</w:t>
      </w:r>
      <w:proofErr w:type="spellEnd"/>
      <w:r>
        <w:rPr>
          <w:sz w:val="28"/>
          <w:szCs w:val="28"/>
        </w:rPr>
        <w:t xml:space="preserve"> in the </w:t>
      </w:r>
      <w:proofErr w:type="gramStart"/>
      <w:r>
        <w:rPr>
          <w:sz w:val="28"/>
          <w:szCs w:val="28"/>
        </w:rPr>
        <w:t>s</w:t>
      </w:r>
      <w:r w:rsidRPr="00CC2C5D">
        <w:rPr>
          <w:sz w:val="28"/>
          <w:szCs w:val="28"/>
        </w:rPr>
        <w:t>tate.</w:t>
      </w:r>
      <w:proofErr w:type="gramEnd"/>
    </w:p>
    <w:p w14:paraId="2AD077CA" w14:textId="77777777" w:rsidR="00663F73" w:rsidRPr="00CC2C5D" w:rsidRDefault="00663F73" w:rsidP="00663F73">
      <w:pPr>
        <w:spacing w:after="0" w:line="360" w:lineRule="auto"/>
        <w:rPr>
          <w:b/>
          <w:sz w:val="28"/>
          <w:szCs w:val="28"/>
        </w:rPr>
      </w:pPr>
      <w:r w:rsidRPr="00CC2C5D">
        <w:rPr>
          <w:b/>
          <w:sz w:val="28"/>
          <w:szCs w:val="28"/>
        </w:rPr>
        <w:t>Personnel Costs</w:t>
      </w:r>
    </w:p>
    <w:p w14:paraId="1A904DF0" w14:textId="31FE814C" w:rsidR="00663F73" w:rsidRPr="00CC2C5D" w:rsidRDefault="00663F73" w:rsidP="00663F73">
      <w:pPr>
        <w:spacing w:after="0" w:line="360" w:lineRule="auto"/>
        <w:rPr>
          <w:sz w:val="28"/>
          <w:szCs w:val="28"/>
        </w:rPr>
      </w:pPr>
      <w:proofErr w:type="gramStart"/>
      <w:r w:rsidRPr="00CC2C5D">
        <w:rPr>
          <w:sz w:val="28"/>
          <w:szCs w:val="28"/>
        </w:rPr>
        <w:t>Are</w:t>
      </w:r>
      <w:proofErr w:type="gramEnd"/>
      <w:r w:rsidRPr="00CC2C5D">
        <w:rPr>
          <w:sz w:val="28"/>
          <w:szCs w:val="28"/>
        </w:rPr>
        <w:t xml:space="preserve"> the part of recurrent expenditure of government used for the payment of salaries and pension of government </w:t>
      </w:r>
      <w:r w:rsidR="0067682B" w:rsidRPr="00CC2C5D">
        <w:rPr>
          <w:sz w:val="28"/>
          <w:szCs w:val="28"/>
        </w:rPr>
        <w:t>workers?</w:t>
      </w:r>
    </w:p>
    <w:p w14:paraId="2D0ABA98" w14:textId="77777777" w:rsidR="00663F73" w:rsidRPr="00CC2C5D" w:rsidRDefault="00663F73" w:rsidP="00663F73">
      <w:pPr>
        <w:spacing w:after="0" w:line="360" w:lineRule="auto"/>
        <w:rPr>
          <w:b/>
          <w:sz w:val="28"/>
          <w:szCs w:val="28"/>
        </w:rPr>
      </w:pPr>
      <w:r w:rsidRPr="00CC2C5D">
        <w:rPr>
          <w:b/>
          <w:sz w:val="28"/>
          <w:szCs w:val="28"/>
        </w:rPr>
        <w:t>Budget support</w:t>
      </w:r>
    </w:p>
    <w:p w14:paraId="0FA51ADC" w14:textId="164ACD1F" w:rsidR="00663F73" w:rsidRPr="00CC2C5D" w:rsidRDefault="00663F73" w:rsidP="00663F73">
      <w:pPr>
        <w:spacing w:after="0" w:line="360" w:lineRule="auto"/>
        <w:rPr>
          <w:sz w:val="28"/>
          <w:szCs w:val="28"/>
        </w:rPr>
      </w:pPr>
      <w:r w:rsidRPr="00CC2C5D">
        <w:rPr>
          <w:sz w:val="28"/>
          <w:szCs w:val="28"/>
        </w:rPr>
        <w:t xml:space="preserve">Is the amount given by the Federal Government to support the State to pay salaries and pensions in the event of low federal </w:t>
      </w:r>
      <w:r w:rsidR="0067682B" w:rsidRPr="00CC2C5D">
        <w:rPr>
          <w:sz w:val="28"/>
          <w:szCs w:val="28"/>
        </w:rPr>
        <w:t>allocation?</w:t>
      </w:r>
    </w:p>
    <w:p w14:paraId="4C0421E5" w14:textId="77777777" w:rsidR="00663F73" w:rsidRPr="00CC2C5D" w:rsidRDefault="00663F73" w:rsidP="00663F73">
      <w:pPr>
        <w:spacing w:after="0" w:line="360" w:lineRule="auto"/>
        <w:rPr>
          <w:b/>
          <w:sz w:val="28"/>
          <w:szCs w:val="28"/>
        </w:rPr>
      </w:pPr>
      <w:r w:rsidRPr="00CC2C5D">
        <w:rPr>
          <w:b/>
          <w:sz w:val="28"/>
          <w:szCs w:val="28"/>
        </w:rPr>
        <w:t>Overhead costs</w:t>
      </w:r>
    </w:p>
    <w:p w14:paraId="55951BF7" w14:textId="168A8AAA" w:rsidR="00663F73" w:rsidRPr="00CC2C5D" w:rsidRDefault="00663F73" w:rsidP="00663F73">
      <w:pPr>
        <w:spacing w:after="0" w:line="360" w:lineRule="auto"/>
        <w:rPr>
          <w:sz w:val="28"/>
          <w:szCs w:val="28"/>
        </w:rPr>
      </w:pPr>
      <w:proofErr w:type="gramStart"/>
      <w:r w:rsidRPr="00CC2C5D">
        <w:rPr>
          <w:sz w:val="28"/>
          <w:szCs w:val="28"/>
        </w:rPr>
        <w:t>Are</w:t>
      </w:r>
      <w:proofErr w:type="gramEnd"/>
      <w:r w:rsidRPr="00CC2C5D">
        <w:rPr>
          <w:sz w:val="28"/>
          <w:szCs w:val="28"/>
        </w:rPr>
        <w:t xml:space="preserve"> the part of recurrent expenditure of government used for daily or periodic administrative </w:t>
      </w:r>
      <w:r w:rsidR="0067682B" w:rsidRPr="00CC2C5D">
        <w:rPr>
          <w:sz w:val="28"/>
          <w:szCs w:val="28"/>
        </w:rPr>
        <w:t>expenses?</w:t>
      </w:r>
    </w:p>
    <w:p w14:paraId="545EC166" w14:textId="77777777" w:rsidR="00663F73" w:rsidRPr="00CC2C5D" w:rsidRDefault="00663F73" w:rsidP="00663F73">
      <w:pPr>
        <w:spacing w:after="0" w:line="360" w:lineRule="auto"/>
        <w:rPr>
          <w:b/>
          <w:sz w:val="28"/>
          <w:szCs w:val="28"/>
        </w:rPr>
      </w:pPr>
      <w:r w:rsidRPr="00CC2C5D">
        <w:rPr>
          <w:b/>
          <w:sz w:val="28"/>
          <w:szCs w:val="28"/>
        </w:rPr>
        <w:t>Debt Stock</w:t>
      </w:r>
    </w:p>
    <w:p w14:paraId="522E4AC2" w14:textId="77777777" w:rsidR="00663F73" w:rsidRPr="00CC2C5D" w:rsidRDefault="00663F73" w:rsidP="00663F73">
      <w:pPr>
        <w:spacing w:after="0" w:line="360" w:lineRule="auto"/>
        <w:rPr>
          <w:sz w:val="28"/>
          <w:szCs w:val="28"/>
        </w:rPr>
      </w:pPr>
      <w:r w:rsidRPr="00CC2C5D">
        <w:rPr>
          <w:sz w:val="28"/>
          <w:szCs w:val="28"/>
        </w:rPr>
        <w:t>Is the total of domestic and external debts of the government over a period of time.</w:t>
      </w:r>
    </w:p>
    <w:p w14:paraId="54F6D31C" w14:textId="77777777" w:rsidR="00663F73" w:rsidRPr="00CC2C5D" w:rsidRDefault="00663F73" w:rsidP="00663F73">
      <w:pPr>
        <w:spacing w:after="0" w:line="360" w:lineRule="auto"/>
        <w:rPr>
          <w:b/>
          <w:sz w:val="28"/>
          <w:szCs w:val="28"/>
        </w:rPr>
      </w:pPr>
      <w:r w:rsidRPr="00CC2C5D">
        <w:rPr>
          <w:b/>
          <w:sz w:val="28"/>
          <w:szCs w:val="28"/>
        </w:rPr>
        <w:t>Debt Servicing</w:t>
      </w:r>
    </w:p>
    <w:p w14:paraId="1C0DC2D3" w14:textId="1721963E" w:rsidR="00663F73" w:rsidRPr="00CC2C5D" w:rsidRDefault="00663F73" w:rsidP="00663F73">
      <w:pPr>
        <w:spacing w:after="0" w:line="360" w:lineRule="auto"/>
        <w:rPr>
          <w:sz w:val="28"/>
          <w:szCs w:val="28"/>
        </w:rPr>
      </w:pPr>
      <w:r w:rsidRPr="00CC2C5D">
        <w:rPr>
          <w:sz w:val="28"/>
          <w:szCs w:val="28"/>
        </w:rPr>
        <w:t>I</w:t>
      </w:r>
      <w:r w:rsidR="00144300">
        <w:rPr>
          <w:sz w:val="28"/>
          <w:szCs w:val="28"/>
        </w:rPr>
        <w:t>s</w:t>
      </w:r>
      <w:r w:rsidRPr="00CC2C5D">
        <w:rPr>
          <w:sz w:val="28"/>
          <w:szCs w:val="28"/>
        </w:rPr>
        <w:t xml:space="preserve"> the amount of money allocated in the budget for repayment of principal of domestic and external </w:t>
      </w:r>
      <w:r w:rsidR="0067682B" w:rsidRPr="00CC2C5D">
        <w:rPr>
          <w:sz w:val="28"/>
          <w:szCs w:val="28"/>
        </w:rPr>
        <w:t>debts?</w:t>
      </w:r>
    </w:p>
    <w:p w14:paraId="56F7D079" w14:textId="77777777" w:rsidR="00663F73" w:rsidRPr="00CC2C5D" w:rsidRDefault="00663F73" w:rsidP="00663F73">
      <w:pPr>
        <w:spacing w:after="0" w:line="360" w:lineRule="auto"/>
        <w:rPr>
          <w:b/>
          <w:sz w:val="28"/>
          <w:szCs w:val="28"/>
        </w:rPr>
      </w:pPr>
      <w:r w:rsidRPr="00CC2C5D">
        <w:rPr>
          <w:b/>
          <w:sz w:val="28"/>
          <w:szCs w:val="28"/>
        </w:rPr>
        <w:t>Statutory Allocation</w:t>
      </w:r>
    </w:p>
    <w:p w14:paraId="7C059828" w14:textId="77777777" w:rsidR="00663F73" w:rsidRPr="00CC2C5D" w:rsidRDefault="00663F73" w:rsidP="00663F73">
      <w:pPr>
        <w:spacing w:after="0" w:line="360" w:lineRule="auto"/>
        <w:rPr>
          <w:sz w:val="28"/>
          <w:szCs w:val="28"/>
        </w:rPr>
      </w:pPr>
      <w:r w:rsidRPr="00CC2C5D">
        <w:rPr>
          <w:sz w:val="28"/>
          <w:szCs w:val="28"/>
        </w:rPr>
        <w:t>Is the allocation to the State by the Federal accounts. This is determined by Federal Account Allocation Committee (FACC).</w:t>
      </w:r>
    </w:p>
    <w:p w14:paraId="7DAB2D70" w14:textId="77777777" w:rsidR="00663F73" w:rsidRPr="00CC2C5D" w:rsidRDefault="00663F73" w:rsidP="00663F73">
      <w:pPr>
        <w:spacing w:after="0" w:line="360" w:lineRule="auto"/>
        <w:rPr>
          <w:b/>
          <w:sz w:val="28"/>
          <w:szCs w:val="28"/>
        </w:rPr>
      </w:pPr>
      <w:r w:rsidRPr="00CC2C5D">
        <w:rPr>
          <w:b/>
          <w:sz w:val="28"/>
          <w:szCs w:val="28"/>
        </w:rPr>
        <w:t>Cash Backed Capital Expenditure</w:t>
      </w:r>
    </w:p>
    <w:p w14:paraId="2AFB2C15" w14:textId="07EDB16C" w:rsidR="00663F73" w:rsidRPr="00CC2C5D" w:rsidRDefault="00663F73" w:rsidP="00663F73">
      <w:pPr>
        <w:spacing w:after="0" w:line="360" w:lineRule="auto"/>
        <w:rPr>
          <w:sz w:val="28"/>
          <w:szCs w:val="28"/>
        </w:rPr>
      </w:pPr>
      <w:r w:rsidRPr="00CC2C5D">
        <w:rPr>
          <w:sz w:val="28"/>
          <w:szCs w:val="28"/>
        </w:rPr>
        <w:t xml:space="preserve">Is the amount in capital made available for execution of capital </w:t>
      </w:r>
      <w:r w:rsidR="00A2703F" w:rsidRPr="00CC2C5D">
        <w:rPr>
          <w:sz w:val="28"/>
          <w:szCs w:val="28"/>
        </w:rPr>
        <w:t>projects?</w:t>
      </w:r>
    </w:p>
    <w:p w14:paraId="00D6E7FE" w14:textId="77777777" w:rsidR="00663F73" w:rsidRPr="00CC2C5D" w:rsidRDefault="00663F73" w:rsidP="00663F73">
      <w:pPr>
        <w:spacing w:after="0" w:line="360" w:lineRule="auto"/>
        <w:rPr>
          <w:b/>
          <w:sz w:val="28"/>
          <w:szCs w:val="28"/>
        </w:rPr>
      </w:pPr>
      <w:r w:rsidRPr="00CC2C5D">
        <w:rPr>
          <w:b/>
          <w:sz w:val="28"/>
          <w:szCs w:val="28"/>
        </w:rPr>
        <w:lastRenderedPageBreak/>
        <w:t>Revenue</w:t>
      </w:r>
    </w:p>
    <w:p w14:paraId="4F8E9DE4" w14:textId="77777777" w:rsidR="00663F73" w:rsidRPr="00CC2C5D" w:rsidRDefault="00663F73" w:rsidP="00663F73">
      <w:pPr>
        <w:spacing w:after="0" w:line="360" w:lineRule="auto"/>
        <w:rPr>
          <w:sz w:val="28"/>
          <w:szCs w:val="28"/>
        </w:rPr>
      </w:pPr>
      <w:r w:rsidRPr="00CC2C5D">
        <w:rPr>
          <w:sz w:val="28"/>
          <w:szCs w:val="28"/>
        </w:rPr>
        <w:t xml:space="preserve">Is the total amount generated by the government over a specified </w:t>
      </w:r>
      <w:proofErr w:type="gramStart"/>
      <w:r w:rsidRPr="00CC2C5D">
        <w:rPr>
          <w:sz w:val="28"/>
          <w:szCs w:val="28"/>
        </w:rPr>
        <w:t>period.</w:t>
      </w:r>
      <w:proofErr w:type="gramEnd"/>
    </w:p>
    <w:p w14:paraId="2D4C0A86" w14:textId="77777777" w:rsidR="00663F73" w:rsidRPr="00CC2C5D" w:rsidRDefault="00663F73" w:rsidP="00663F73">
      <w:pPr>
        <w:spacing w:after="0" w:line="360" w:lineRule="auto"/>
        <w:rPr>
          <w:b/>
          <w:sz w:val="28"/>
          <w:szCs w:val="28"/>
        </w:rPr>
      </w:pPr>
      <w:r w:rsidRPr="00CC2C5D">
        <w:rPr>
          <w:b/>
          <w:sz w:val="28"/>
          <w:szCs w:val="28"/>
        </w:rPr>
        <w:t>Internally Generated Revenue</w:t>
      </w:r>
    </w:p>
    <w:p w14:paraId="593C7BB0" w14:textId="77777777" w:rsidR="00663F73" w:rsidRPr="00CC2C5D" w:rsidRDefault="00663F73" w:rsidP="00663F73">
      <w:pPr>
        <w:spacing w:after="0" w:line="360" w:lineRule="auto"/>
        <w:rPr>
          <w:sz w:val="28"/>
          <w:szCs w:val="28"/>
        </w:rPr>
      </w:pPr>
      <w:r w:rsidRPr="00CC2C5D">
        <w:rPr>
          <w:sz w:val="28"/>
          <w:szCs w:val="28"/>
        </w:rPr>
        <w:t xml:space="preserve">Is the total amount of money by generated by the state government by itself without the federal government </w:t>
      </w:r>
      <w:proofErr w:type="gramStart"/>
      <w:r w:rsidRPr="00CC2C5D">
        <w:rPr>
          <w:sz w:val="28"/>
          <w:szCs w:val="28"/>
        </w:rPr>
        <w:t>support.</w:t>
      </w:r>
      <w:proofErr w:type="gramEnd"/>
    </w:p>
    <w:p w14:paraId="0061F3F2" w14:textId="77777777" w:rsidR="00663F73" w:rsidRPr="00CC2C5D" w:rsidRDefault="00663F73" w:rsidP="00663F73">
      <w:pPr>
        <w:spacing w:after="0" w:line="360" w:lineRule="auto"/>
        <w:rPr>
          <w:b/>
          <w:sz w:val="28"/>
          <w:szCs w:val="28"/>
        </w:rPr>
      </w:pPr>
      <w:r w:rsidRPr="00CC2C5D">
        <w:rPr>
          <w:b/>
          <w:sz w:val="28"/>
          <w:szCs w:val="28"/>
        </w:rPr>
        <w:t>Consolidated Revenue Fund Charge</w:t>
      </w:r>
    </w:p>
    <w:p w14:paraId="48D838B2" w14:textId="77777777" w:rsidR="00663F73" w:rsidRPr="00CC2C5D" w:rsidRDefault="00663F73" w:rsidP="00663F73">
      <w:pPr>
        <w:spacing w:after="0" w:line="360" w:lineRule="auto"/>
        <w:rPr>
          <w:sz w:val="28"/>
          <w:szCs w:val="28"/>
        </w:rPr>
      </w:pPr>
      <w:r w:rsidRPr="00CC2C5D">
        <w:rPr>
          <w:sz w:val="28"/>
          <w:szCs w:val="28"/>
        </w:rPr>
        <w:t>Is part of the estimate, statutorily used to pay salaries of political office holders, for examples the Governor, Deputy Governor, Commissioned Commissioners, Judges, Pensions Gratuities, benefits of past Governors/Deputy Governors and interest of borrowings/debts</w:t>
      </w:r>
    </w:p>
    <w:p w14:paraId="2A03DDD5" w14:textId="77777777" w:rsidR="00663F73" w:rsidRPr="00CC2C5D" w:rsidRDefault="00663F73" w:rsidP="00663F73">
      <w:pPr>
        <w:spacing w:after="0" w:line="360" w:lineRule="auto"/>
        <w:rPr>
          <w:b/>
          <w:sz w:val="28"/>
          <w:szCs w:val="28"/>
        </w:rPr>
      </w:pPr>
      <w:r w:rsidRPr="00CC2C5D">
        <w:rPr>
          <w:b/>
          <w:sz w:val="28"/>
          <w:szCs w:val="28"/>
        </w:rPr>
        <w:t>Value Added Tax (VAT)</w:t>
      </w:r>
    </w:p>
    <w:p w14:paraId="7161FC15" w14:textId="77777777" w:rsidR="00663F73" w:rsidRPr="00CC2C5D" w:rsidRDefault="00663F73" w:rsidP="00663F73">
      <w:pPr>
        <w:spacing w:after="0" w:line="360" w:lineRule="auto"/>
        <w:rPr>
          <w:sz w:val="28"/>
          <w:szCs w:val="28"/>
        </w:rPr>
      </w:pPr>
      <w:r w:rsidRPr="00CC2C5D">
        <w:rPr>
          <w:sz w:val="28"/>
          <w:szCs w:val="28"/>
        </w:rPr>
        <w:t>Is part of revenue that is given to the state by the Federal Government from all goods sold and service and services rendered in the Country.</w:t>
      </w:r>
    </w:p>
    <w:p w14:paraId="5710AB50" w14:textId="77777777" w:rsidR="00663F73" w:rsidRPr="00CC2C5D" w:rsidRDefault="00663F73" w:rsidP="00663F73">
      <w:pPr>
        <w:spacing w:after="0" w:line="360" w:lineRule="auto"/>
        <w:rPr>
          <w:b/>
          <w:sz w:val="28"/>
          <w:szCs w:val="28"/>
        </w:rPr>
      </w:pPr>
      <w:r w:rsidRPr="00CC2C5D">
        <w:rPr>
          <w:b/>
          <w:sz w:val="28"/>
          <w:szCs w:val="28"/>
        </w:rPr>
        <w:t xml:space="preserve">CONTENT INFORMATION FOR FOLLOW-UP BY CITIZENS/ FEEDBACK CHANNELS </w:t>
      </w:r>
    </w:p>
    <w:p w14:paraId="3588F54E" w14:textId="77777777" w:rsidR="00663F73" w:rsidRPr="00CC2C5D" w:rsidRDefault="00663F73" w:rsidP="00663F73">
      <w:pPr>
        <w:spacing w:after="0" w:line="360" w:lineRule="auto"/>
        <w:rPr>
          <w:sz w:val="28"/>
          <w:szCs w:val="28"/>
        </w:rPr>
      </w:pPr>
      <w:r w:rsidRPr="00CC2C5D">
        <w:rPr>
          <w:sz w:val="28"/>
          <w:szCs w:val="28"/>
        </w:rPr>
        <w:t xml:space="preserve">Please contact the Bayelsa State Budget Office through the following medium in case you desire specific information. Also use </w:t>
      </w:r>
      <w:proofErr w:type="gramStart"/>
      <w:r w:rsidRPr="00CC2C5D">
        <w:rPr>
          <w:sz w:val="28"/>
          <w:szCs w:val="28"/>
        </w:rPr>
        <w:t>these channel</w:t>
      </w:r>
      <w:proofErr w:type="gramEnd"/>
      <w:r w:rsidRPr="00CC2C5D">
        <w:rPr>
          <w:sz w:val="28"/>
          <w:szCs w:val="28"/>
        </w:rPr>
        <w:t xml:space="preserve"> for interactions and possible feedback.</w:t>
      </w:r>
    </w:p>
    <w:p w14:paraId="6237719F" w14:textId="77777777" w:rsidR="00663F73" w:rsidRPr="00CC2C5D" w:rsidRDefault="00663F73" w:rsidP="00663F73">
      <w:pPr>
        <w:spacing w:after="0" w:line="360" w:lineRule="auto"/>
        <w:rPr>
          <w:sz w:val="28"/>
          <w:szCs w:val="28"/>
        </w:rPr>
      </w:pPr>
      <w:r w:rsidRPr="00CC2C5D">
        <w:rPr>
          <w:sz w:val="28"/>
          <w:szCs w:val="28"/>
        </w:rPr>
        <w:t>Bayelsa State Ministry of Finance web site at www.mofby.gov.ng.</w:t>
      </w:r>
    </w:p>
    <w:p w14:paraId="040EDB20" w14:textId="77777777" w:rsidR="00663F73" w:rsidRPr="00CC2C5D" w:rsidRDefault="00663F73" w:rsidP="00663F73">
      <w:pPr>
        <w:spacing w:after="0" w:line="360" w:lineRule="auto"/>
        <w:rPr>
          <w:sz w:val="28"/>
          <w:szCs w:val="28"/>
        </w:rPr>
      </w:pPr>
      <w:r w:rsidRPr="00CC2C5D">
        <w:rPr>
          <w:sz w:val="28"/>
          <w:szCs w:val="28"/>
        </w:rPr>
        <w:t>OR</w:t>
      </w:r>
    </w:p>
    <w:p w14:paraId="48F8FF7D" w14:textId="77777777" w:rsidR="00663F73" w:rsidRDefault="00663F73" w:rsidP="00663F73">
      <w:pPr>
        <w:rPr>
          <w:b/>
          <w:color w:val="FF0000"/>
          <w:sz w:val="56"/>
          <w:szCs w:val="56"/>
        </w:rPr>
      </w:pPr>
      <w:r>
        <w:rPr>
          <w:rFonts w:ascii="Bernard MT Condensed" w:hAnsi="Bernard MT Condensed"/>
          <w:b/>
          <w:sz w:val="52"/>
          <w:szCs w:val="52"/>
        </w:rPr>
        <w:t>CONTACT US</w:t>
      </w:r>
      <w:r>
        <w:rPr>
          <w:sz w:val="24"/>
          <w:szCs w:val="24"/>
        </w:rPr>
        <w:t xml:space="preserve">         </w:t>
      </w:r>
      <w:r w:rsidRPr="002B0A24">
        <w:rPr>
          <w:sz w:val="24"/>
          <w:szCs w:val="24"/>
        </w:rPr>
        <w:t xml:space="preserve">        </w:t>
      </w:r>
      <w:r w:rsidRPr="00076201">
        <w:rPr>
          <w:b/>
          <w:color w:val="FF0000"/>
          <w:sz w:val="56"/>
          <w:szCs w:val="56"/>
        </w:rPr>
        <w:t>Ω</w:t>
      </w:r>
    </w:p>
    <w:p w14:paraId="31BE0CCB" w14:textId="01286B5F" w:rsidR="00144300" w:rsidRPr="0067682B" w:rsidRDefault="00115ECF" w:rsidP="0067682B">
      <w:pPr>
        <w:spacing w:after="0" w:line="240" w:lineRule="auto"/>
        <w:jc w:val="both"/>
        <w:rPr>
          <w:rFonts w:ascii="Times New Roman" w:eastAsia="Times New Roman" w:hAnsi="Times New Roman" w:cs="Times New Roman"/>
          <w:b/>
          <w:sz w:val="28"/>
          <w:szCs w:val="28"/>
        </w:rPr>
      </w:pPr>
      <w:r w:rsidRPr="0067682B">
        <w:rPr>
          <w:rFonts w:ascii="Times New Roman" w:eastAsia="Times New Roman" w:hAnsi="Times New Roman" w:cs="Times New Roman"/>
          <w:b/>
          <w:sz w:val="28"/>
          <w:szCs w:val="28"/>
        </w:rPr>
        <w:t>PREMOBOERE O. SOROH (FC</w:t>
      </w:r>
      <w:r w:rsidR="00144300" w:rsidRPr="0067682B">
        <w:rPr>
          <w:rFonts w:ascii="Times New Roman" w:eastAsia="Times New Roman" w:hAnsi="Times New Roman" w:cs="Times New Roman"/>
          <w:b/>
          <w:sz w:val="28"/>
          <w:szCs w:val="28"/>
        </w:rPr>
        <w:t>E</w:t>
      </w:r>
      <w:r w:rsidRPr="0067682B">
        <w:rPr>
          <w:rFonts w:ascii="Times New Roman" w:eastAsia="Times New Roman" w:hAnsi="Times New Roman" w:cs="Times New Roman"/>
          <w:b/>
          <w:sz w:val="28"/>
          <w:szCs w:val="28"/>
        </w:rPr>
        <w:t xml:space="preserve">)    </w:t>
      </w:r>
    </w:p>
    <w:p w14:paraId="411FEF34" w14:textId="614289F6" w:rsidR="0067682B" w:rsidRDefault="00115ECF" w:rsidP="0067682B">
      <w:pPr>
        <w:spacing w:after="0" w:line="240" w:lineRule="auto"/>
        <w:jc w:val="both"/>
        <w:rPr>
          <w:rFonts w:ascii="Times New Roman" w:eastAsia="Times New Roman" w:hAnsi="Times New Roman" w:cs="Times New Roman"/>
          <w:b/>
          <w:sz w:val="28"/>
          <w:szCs w:val="28"/>
        </w:rPr>
      </w:pPr>
      <w:r w:rsidRPr="00144300">
        <w:rPr>
          <w:rFonts w:ascii="Times New Roman" w:eastAsia="Times New Roman" w:hAnsi="Times New Roman" w:cs="Times New Roman"/>
          <w:b/>
          <w:sz w:val="28"/>
          <w:szCs w:val="28"/>
        </w:rPr>
        <w:t>DIRECTOR, BAYELSA STATE BUDGET OFFICE</w:t>
      </w:r>
    </w:p>
    <w:p w14:paraId="136E4657" w14:textId="264506BB" w:rsidR="00115ECF" w:rsidRPr="00144300" w:rsidRDefault="00115ECF" w:rsidP="00144300">
      <w:pPr>
        <w:spacing w:after="0" w:line="600" w:lineRule="auto"/>
        <w:jc w:val="both"/>
        <w:rPr>
          <w:rFonts w:ascii="Times New Roman" w:eastAsia="Times New Roman" w:hAnsi="Times New Roman" w:cs="Times New Roman"/>
          <w:b/>
          <w:sz w:val="28"/>
          <w:szCs w:val="28"/>
        </w:rPr>
      </w:pPr>
      <w:r w:rsidRPr="00144300">
        <w:rPr>
          <w:rFonts w:ascii="Times New Roman" w:eastAsia="Times New Roman" w:hAnsi="Times New Roman" w:cs="Times New Roman"/>
          <w:b/>
          <w:sz w:val="28"/>
          <w:szCs w:val="28"/>
        </w:rPr>
        <w:t>080135695871</w:t>
      </w:r>
    </w:p>
    <w:p w14:paraId="3171B0F9" w14:textId="77777777" w:rsidR="0067682B" w:rsidRDefault="00115ECF" w:rsidP="0067682B">
      <w:pPr>
        <w:spacing w:after="0" w:line="240" w:lineRule="auto"/>
        <w:rPr>
          <w:rFonts w:ascii="Times New Roman" w:eastAsia="Times New Roman" w:hAnsi="Times New Roman" w:cs="Times New Roman"/>
          <w:b/>
          <w:sz w:val="28"/>
          <w:szCs w:val="28"/>
        </w:rPr>
      </w:pPr>
      <w:r w:rsidRPr="00115ECF">
        <w:rPr>
          <w:rFonts w:ascii="Times New Roman" w:eastAsia="Times New Roman" w:hAnsi="Times New Roman" w:cs="Times New Roman"/>
          <w:b/>
          <w:sz w:val="28"/>
          <w:szCs w:val="28"/>
        </w:rPr>
        <w:t>GBEINBO BUNAKEAMA (FCE)</w:t>
      </w:r>
    </w:p>
    <w:p w14:paraId="088D289D" w14:textId="0BB81E5E" w:rsidR="0048530F" w:rsidRPr="00115ECF" w:rsidRDefault="00115ECF" w:rsidP="0067682B">
      <w:pPr>
        <w:spacing w:line="240" w:lineRule="auto"/>
        <w:rPr>
          <w:b/>
          <w:noProof/>
          <w:sz w:val="28"/>
          <w:szCs w:val="28"/>
        </w:rPr>
      </w:pPr>
      <w:r w:rsidRPr="00115ECF">
        <w:rPr>
          <w:rFonts w:ascii="Times New Roman" w:eastAsia="Times New Roman" w:hAnsi="Times New Roman" w:cs="Times New Roman"/>
          <w:b/>
          <w:sz w:val="28"/>
          <w:szCs w:val="28"/>
        </w:rPr>
        <w:t>ASST. CHIEF BUDGET OFFICER. BYS BUDGET OFFICE 07060831945</w:t>
      </w:r>
    </w:p>
    <w:p w14:paraId="2A5BBA92" w14:textId="77777777" w:rsidR="0048530F" w:rsidRDefault="0048530F">
      <w:pPr>
        <w:rPr>
          <w:noProof/>
          <w:sz w:val="16"/>
        </w:rPr>
      </w:pPr>
    </w:p>
    <w:p w14:paraId="1C113AF9" w14:textId="77777777" w:rsidR="0048530F" w:rsidRDefault="0048530F">
      <w:pPr>
        <w:rPr>
          <w:noProof/>
          <w:sz w:val="16"/>
        </w:rPr>
      </w:pPr>
    </w:p>
    <w:p w14:paraId="5C102451" w14:textId="77777777" w:rsidR="00ED5E66" w:rsidRDefault="0048530F">
      <w:r>
        <w:t xml:space="preserve">                                                </w:t>
      </w:r>
    </w:p>
    <w:p w14:paraId="724E2AAA" w14:textId="77777777" w:rsidR="000D579D" w:rsidRDefault="000D579D"/>
    <w:p w14:paraId="3BC7A389" w14:textId="77777777" w:rsidR="000D579D" w:rsidRDefault="000D579D"/>
    <w:p w14:paraId="74D98845" w14:textId="77777777" w:rsidR="000D579D" w:rsidRDefault="000D579D"/>
    <w:p w14:paraId="584DC689" w14:textId="77777777" w:rsidR="000D579D" w:rsidRDefault="000D579D"/>
    <w:p w14:paraId="3AC65F32" w14:textId="77777777" w:rsidR="000D579D" w:rsidRDefault="000D579D"/>
    <w:p w14:paraId="673ECA71" w14:textId="77777777" w:rsidR="000D579D" w:rsidRDefault="000D579D"/>
    <w:tbl>
      <w:tblPr>
        <w:tblW w:w="23298" w:type="dxa"/>
        <w:tblInd w:w="-1134" w:type="dxa"/>
        <w:tblLook w:val="04A0" w:firstRow="1" w:lastRow="0" w:firstColumn="1" w:lastColumn="0" w:noHBand="0" w:noVBand="1"/>
      </w:tblPr>
      <w:tblGrid>
        <w:gridCol w:w="425"/>
        <w:gridCol w:w="10207"/>
        <w:gridCol w:w="236"/>
        <w:gridCol w:w="47"/>
        <w:gridCol w:w="3189"/>
        <w:gridCol w:w="2074"/>
        <w:gridCol w:w="236"/>
        <w:gridCol w:w="3412"/>
        <w:gridCol w:w="236"/>
        <w:gridCol w:w="3236"/>
      </w:tblGrid>
      <w:tr w:rsidR="0062711B" w:rsidRPr="0062711B" w14:paraId="748894F7" w14:textId="77777777" w:rsidTr="00472A23">
        <w:trPr>
          <w:trHeight w:val="315"/>
        </w:trPr>
        <w:tc>
          <w:tcPr>
            <w:tcW w:w="19826" w:type="dxa"/>
            <w:gridSpan w:val="8"/>
            <w:tcBorders>
              <w:top w:val="nil"/>
              <w:left w:val="nil"/>
              <w:bottom w:val="nil"/>
              <w:right w:val="nil"/>
            </w:tcBorders>
            <w:shd w:val="clear" w:color="auto" w:fill="auto"/>
            <w:noWrap/>
            <w:vAlign w:val="bottom"/>
          </w:tcPr>
          <w:p w14:paraId="6EE9439D" w14:textId="77777777" w:rsidR="0062711B" w:rsidRPr="0062711B" w:rsidRDefault="0062711B" w:rsidP="0062711B">
            <w:pPr>
              <w:spacing w:after="0" w:line="240" w:lineRule="auto"/>
              <w:rPr>
                <w:rFonts w:ascii="Times New Roman" w:eastAsia="Times New Roman" w:hAnsi="Times New Roman" w:cs="Times New Roman"/>
                <w:sz w:val="20"/>
                <w:szCs w:val="20"/>
              </w:rPr>
            </w:pPr>
          </w:p>
        </w:tc>
        <w:tc>
          <w:tcPr>
            <w:tcW w:w="236" w:type="dxa"/>
            <w:tcBorders>
              <w:top w:val="nil"/>
              <w:left w:val="nil"/>
              <w:bottom w:val="nil"/>
              <w:right w:val="nil"/>
            </w:tcBorders>
            <w:shd w:val="clear" w:color="auto" w:fill="auto"/>
            <w:noWrap/>
            <w:vAlign w:val="bottom"/>
          </w:tcPr>
          <w:p w14:paraId="05D3D3D4" w14:textId="77777777" w:rsidR="0062711B" w:rsidRPr="0062711B" w:rsidRDefault="0062711B" w:rsidP="0062711B">
            <w:pPr>
              <w:spacing w:after="0" w:line="240" w:lineRule="auto"/>
              <w:rPr>
                <w:rFonts w:ascii="Times New Roman" w:eastAsia="Times New Roman" w:hAnsi="Times New Roman" w:cs="Times New Roman"/>
                <w:sz w:val="20"/>
                <w:szCs w:val="20"/>
              </w:rPr>
            </w:pPr>
          </w:p>
        </w:tc>
        <w:tc>
          <w:tcPr>
            <w:tcW w:w="3236" w:type="dxa"/>
            <w:tcBorders>
              <w:top w:val="nil"/>
              <w:left w:val="nil"/>
              <w:bottom w:val="nil"/>
              <w:right w:val="nil"/>
            </w:tcBorders>
            <w:shd w:val="clear" w:color="auto" w:fill="auto"/>
            <w:noWrap/>
            <w:vAlign w:val="bottom"/>
          </w:tcPr>
          <w:p w14:paraId="2A720DCF" w14:textId="77777777" w:rsidR="0062711B" w:rsidRPr="0062711B" w:rsidRDefault="0062711B" w:rsidP="0062711B">
            <w:pPr>
              <w:spacing w:after="0" w:line="240" w:lineRule="auto"/>
              <w:rPr>
                <w:rFonts w:ascii="Times New Roman" w:eastAsia="Times New Roman" w:hAnsi="Times New Roman" w:cs="Times New Roman"/>
                <w:sz w:val="20"/>
                <w:szCs w:val="20"/>
              </w:rPr>
            </w:pPr>
          </w:p>
        </w:tc>
      </w:tr>
      <w:tr w:rsidR="0062711B" w:rsidRPr="0062711B" w14:paraId="0DC860A1" w14:textId="77777777" w:rsidTr="00472A23">
        <w:trPr>
          <w:trHeight w:val="315"/>
        </w:trPr>
        <w:tc>
          <w:tcPr>
            <w:tcW w:w="19826" w:type="dxa"/>
            <w:gridSpan w:val="8"/>
            <w:tcBorders>
              <w:top w:val="nil"/>
              <w:left w:val="nil"/>
              <w:bottom w:val="nil"/>
              <w:right w:val="nil"/>
            </w:tcBorders>
            <w:shd w:val="clear" w:color="auto" w:fill="auto"/>
            <w:noWrap/>
            <w:vAlign w:val="bottom"/>
          </w:tcPr>
          <w:p w14:paraId="36C7AE9C" w14:textId="77777777" w:rsidR="0062711B" w:rsidRPr="00AD7FA2" w:rsidRDefault="0062711B" w:rsidP="0062711B">
            <w:pPr>
              <w:spacing w:after="0" w:line="240" w:lineRule="auto"/>
              <w:rPr>
                <w:rFonts w:ascii="Times New Roman" w:eastAsia="Times New Roman" w:hAnsi="Times New Roman" w:cs="Times New Roman"/>
                <w:sz w:val="24"/>
                <w:szCs w:val="24"/>
              </w:rPr>
            </w:pPr>
          </w:p>
        </w:tc>
        <w:tc>
          <w:tcPr>
            <w:tcW w:w="236" w:type="dxa"/>
            <w:tcBorders>
              <w:top w:val="nil"/>
              <w:left w:val="nil"/>
              <w:bottom w:val="nil"/>
              <w:right w:val="nil"/>
            </w:tcBorders>
            <w:shd w:val="clear" w:color="auto" w:fill="auto"/>
            <w:noWrap/>
            <w:vAlign w:val="bottom"/>
            <w:hideMark/>
          </w:tcPr>
          <w:p w14:paraId="25825949" w14:textId="77777777" w:rsidR="0062711B" w:rsidRPr="0062711B" w:rsidRDefault="0062711B" w:rsidP="0062711B">
            <w:pPr>
              <w:spacing w:after="0" w:line="240" w:lineRule="auto"/>
              <w:rPr>
                <w:rFonts w:ascii="Times New Roman" w:eastAsia="Times New Roman" w:hAnsi="Times New Roman" w:cs="Times New Roman"/>
                <w:sz w:val="20"/>
                <w:szCs w:val="20"/>
              </w:rPr>
            </w:pPr>
          </w:p>
        </w:tc>
        <w:tc>
          <w:tcPr>
            <w:tcW w:w="3236" w:type="dxa"/>
            <w:tcBorders>
              <w:top w:val="nil"/>
              <w:left w:val="nil"/>
              <w:bottom w:val="nil"/>
              <w:right w:val="nil"/>
            </w:tcBorders>
            <w:shd w:val="clear" w:color="auto" w:fill="auto"/>
            <w:noWrap/>
            <w:vAlign w:val="bottom"/>
            <w:hideMark/>
          </w:tcPr>
          <w:p w14:paraId="14A80B5B" w14:textId="77777777" w:rsidR="0062711B" w:rsidRPr="0062711B" w:rsidRDefault="0062711B" w:rsidP="0062711B">
            <w:pPr>
              <w:spacing w:after="0" w:line="240" w:lineRule="auto"/>
              <w:rPr>
                <w:rFonts w:ascii="Times New Roman" w:eastAsia="Times New Roman" w:hAnsi="Times New Roman" w:cs="Times New Roman"/>
                <w:sz w:val="20"/>
                <w:szCs w:val="20"/>
              </w:rPr>
            </w:pPr>
          </w:p>
        </w:tc>
      </w:tr>
      <w:tr w:rsidR="0062711B" w:rsidRPr="0062711B" w14:paraId="1DE8C529" w14:textId="77777777" w:rsidTr="00472A23">
        <w:trPr>
          <w:trHeight w:val="114"/>
        </w:trPr>
        <w:tc>
          <w:tcPr>
            <w:tcW w:w="19826" w:type="dxa"/>
            <w:gridSpan w:val="8"/>
            <w:tcBorders>
              <w:top w:val="nil"/>
              <w:left w:val="nil"/>
              <w:bottom w:val="nil"/>
              <w:right w:val="nil"/>
            </w:tcBorders>
            <w:shd w:val="clear" w:color="auto" w:fill="auto"/>
            <w:noWrap/>
            <w:vAlign w:val="bottom"/>
            <w:hideMark/>
          </w:tcPr>
          <w:p w14:paraId="5B2FA74D" w14:textId="77777777" w:rsidR="0062711B" w:rsidRPr="00C237DC" w:rsidRDefault="0062711B" w:rsidP="0062711B">
            <w:pPr>
              <w:spacing w:after="0" w:line="240" w:lineRule="auto"/>
              <w:rPr>
                <w:rFonts w:ascii="Times New Roman" w:eastAsia="Times New Roman" w:hAnsi="Times New Roman" w:cs="Times New Roman"/>
                <w:sz w:val="20"/>
                <w:szCs w:val="20"/>
              </w:rPr>
            </w:pPr>
          </w:p>
        </w:tc>
        <w:tc>
          <w:tcPr>
            <w:tcW w:w="236" w:type="dxa"/>
            <w:tcBorders>
              <w:top w:val="nil"/>
              <w:left w:val="nil"/>
              <w:bottom w:val="nil"/>
              <w:right w:val="nil"/>
            </w:tcBorders>
            <w:shd w:val="clear" w:color="auto" w:fill="auto"/>
            <w:noWrap/>
            <w:vAlign w:val="bottom"/>
            <w:hideMark/>
          </w:tcPr>
          <w:p w14:paraId="4E321242" w14:textId="77777777" w:rsidR="0062711B" w:rsidRPr="0062711B" w:rsidRDefault="0062711B" w:rsidP="0062711B">
            <w:pPr>
              <w:spacing w:after="0" w:line="240" w:lineRule="auto"/>
              <w:rPr>
                <w:rFonts w:ascii="Times New Roman" w:eastAsia="Times New Roman" w:hAnsi="Times New Roman" w:cs="Times New Roman"/>
                <w:sz w:val="20"/>
                <w:szCs w:val="20"/>
              </w:rPr>
            </w:pPr>
          </w:p>
        </w:tc>
        <w:tc>
          <w:tcPr>
            <w:tcW w:w="3236" w:type="dxa"/>
            <w:tcBorders>
              <w:top w:val="nil"/>
              <w:left w:val="nil"/>
              <w:bottom w:val="nil"/>
              <w:right w:val="nil"/>
            </w:tcBorders>
            <w:shd w:val="clear" w:color="auto" w:fill="auto"/>
            <w:noWrap/>
            <w:vAlign w:val="bottom"/>
            <w:hideMark/>
          </w:tcPr>
          <w:p w14:paraId="71F34D48" w14:textId="77777777" w:rsidR="0062711B" w:rsidRPr="0062711B" w:rsidRDefault="0062711B" w:rsidP="0062711B">
            <w:pPr>
              <w:spacing w:after="0" w:line="240" w:lineRule="auto"/>
              <w:rPr>
                <w:rFonts w:ascii="Times New Roman" w:eastAsia="Times New Roman" w:hAnsi="Times New Roman" w:cs="Times New Roman"/>
                <w:sz w:val="20"/>
                <w:szCs w:val="20"/>
              </w:rPr>
            </w:pPr>
          </w:p>
        </w:tc>
      </w:tr>
      <w:tr w:rsidR="0062711B" w:rsidRPr="0062711B" w14:paraId="0DD651DF" w14:textId="77777777" w:rsidTr="00663F73">
        <w:trPr>
          <w:gridBefore w:val="1"/>
          <w:gridAfter w:val="3"/>
          <w:wBefore w:w="425" w:type="dxa"/>
          <w:wAfter w:w="6884" w:type="dxa"/>
          <w:trHeight w:val="315"/>
        </w:trPr>
        <w:tc>
          <w:tcPr>
            <w:tcW w:w="10490" w:type="dxa"/>
            <w:gridSpan w:val="3"/>
            <w:tcBorders>
              <w:top w:val="nil"/>
              <w:left w:val="nil"/>
              <w:bottom w:val="nil"/>
              <w:right w:val="nil"/>
            </w:tcBorders>
            <w:shd w:val="clear" w:color="auto" w:fill="auto"/>
            <w:noWrap/>
            <w:vAlign w:val="bottom"/>
          </w:tcPr>
          <w:p w14:paraId="05E06F12" w14:textId="77777777" w:rsidR="005C3B06" w:rsidRPr="00CC2C5D" w:rsidRDefault="005C3B06" w:rsidP="00CC2C5D">
            <w:pPr>
              <w:spacing w:after="0" w:line="360" w:lineRule="auto"/>
              <w:ind w:right="420"/>
              <w:jc w:val="both"/>
              <w:rPr>
                <w:rFonts w:ascii="Times New Roman" w:hAnsi="Times New Roman" w:cs="Times New Roman"/>
                <w:sz w:val="28"/>
                <w:szCs w:val="28"/>
              </w:rPr>
            </w:pPr>
          </w:p>
        </w:tc>
        <w:tc>
          <w:tcPr>
            <w:tcW w:w="5263" w:type="dxa"/>
            <w:gridSpan w:val="2"/>
            <w:tcBorders>
              <w:top w:val="nil"/>
              <w:left w:val="nil"/>
              <w:bottom w:val="nil"/>
              <w:right w:val="nil"/>
            </w:tcBorders>
            <w:shd w:val="clear" w:color="auto" w:fill="auto"/>
            <w:noWrap/>
            <w:vAlign w:val="bottom"/>
          </w:tcPr>
          <w:p w14:paraId="0E11A95C" w14:textId="77777777" w:rsidR="0062711B" w:rsidRPr="0062711B" w:rsidRDefault="0062711B" w:rsidP="008568BA">
            <w:pPr>
              <w:spacing w:after="0" w:line="240" w:lineRule="auto"/>
              <w:jc w:val="both"/>
              <w:rPr>
                <w:rFonts w:ascii="Times New Roman" w:eastAsia="Times New Roman" w:hAnsi="Times New Roman" w:cs="Times New Roman"/>
                <w:sz w:val="20"/>
                <w:szCs w:val="20"/>
              </w:rPr>
            </w:pPr>
          </w:p>
        </w:tc>
        <w:tc>
          <w:tcPr>
            <w:tcW w:w="236" w:type="dxa"/>
            <w:tcBorders>
              <w:top w:val="nil"/>
              <w:left w:val="nil"/>
              <w:bottom w:val="nil"/>
              <w:right w:val="nil"/>
            </w:tcBorders>
            <w:shd w:val="clear" w:color="auto" w:fill="auto"/>
            <w:noWrap/>
            <w:vAlign w:val="bottom"/>
          </w:tcPr>
          <w:p w14:paraId="569ADB27" w14:textId="77777777" w:rsidR="0062711B" w:rsidRPr="0062711B" w:rsidRDefault="0062711B" w:rsidP="008568BA">
            <w:pPr>
              <w:spacing w:after="0" w:line="240" w:lineRule="auto"/>
              <w:jc w:val="both"/>
              <w:rPr>
                <w:rFonts w:ascii="Times New Roman" w:eastAsia="Times New Roman" w:hAnsi="Times New Roman" w:cs="Times New Roman"/>
                <w:sz w:val="20"/>
                <w:szCs w:val="20"/>
              </w:rPr>
            </w:pPr>
          </w:p>
        </w:tc>
      </w:tr>
      <w:tr w:rsidR="0062711B" w:rsidRPr="0062711B" w14:paraId="450A3919" w14:textId="77777777" w:rsidTr="00CC2C5D">
        <w:trPr>
          <w:gridBefore w:val="1"/>
          <w:gridAfter w:val="3"/>
          <w:wBefore w:w="425" w:type="dxa"/>
          <w:wAfter w:w="6884" w:type="dxa"/>
          <w:trHeight w:val="315"/>
        </w:trPr>
        <w:tc>
          <w:tcPr>
            <w:tcW w:w="10490" w:type="dxa"/>
            <w:gridSpan w:val="3"/>
            <w:tcBorders>
              <w:top w:val="nil"/>
              <w:left w:val="nil"/>
              <w:bottom w:val="nil"/>
              <w:right w:val="nil"/>
            </w:tcBorders>
            <w:shd w:val="clear" w:color="auto" w:fill="auto"/>
            <w:noWrap/>
            <w:vAlign w:val="bottom"/>
          </w:tcPr>
          <w:p w14:paraId="720F7E4C" w14:textId="77777777" w:rsidR="00CC2C5D" w:rsidRPr="00CC2C5D" w:rsidRDefault="00CC2C5D" w:rsidP="00CC2C5D">
            <w:pPr>
              <w:spacing w:after="0" w:line="360" w:lineRule="auto"/>
              <w:jc w:val="both"/>
              <w:rPr>
                <w:sz w:val="28"/>
                <w:szCs w:val="28"/>
              </w:rPr>
            </w:pPr>
          </w:p>
        </w:tc>
        <w:tc>
          <w:tcPr>
            <w:tcW w:w="5263" w:type="dxa"/>
            <w:gridSpan w:val="2"/>
            <w:tcBorders>
              <w:top w:val="nil"/>
              <w:left w:val="nil"/>
              <w:bottom w:val="nil"/>
              <w:right w:val="nil"/>
            </w:tcBorders>
            <w:shd w:val="clear" w:color="auto" w:fill="auto"/>
            <w:noWrap/>
            <w:vAlign w:val="bottom"/>
            <w:hideMark/>
          </w:tcPr>
          <w:p w14:paraId="576D22D8" w14:textId="77777777" w:rsidR="0062711B" w:rsidRPr="0062711B" w:rsidRDefault="0062711B" w:rsidP="008568BA">
            <w:pPr>
              <w:spacing w:after="0" w:line="240" w:lineRule="auto"/>
              <w:jc w:val="both"/>
              <w:rPr>
                <w:rFonts w:ascii="Times New Roman" w:eastAsia="Times New Roman" w:hAnsi="Times New Roman" w:cs="Times New Roman"/>
                <w:sz w:val="20"/>
                <w:szCs w:val="20"/>
              </w:rPr>
            </w:pPr>
          </w:p>
        </w:tc>
        <w:tc>
          <w:tcPr>
            <w:tcW w:w="236" w:type="dxa"/>
            <w:tcBorders>
              <w:top w:val="nil"/>
              <w:left w:val="nil"/>
              <w:bottom w:val="nil"/>
              <w:right w:val="nil"/>
            </w:tcBorders>
            <w:shd w:val="clear" w:color="auto" w:fill="auto"/>
            <w:noWrap/>
            <w:vAlign w:val="bottom"/>
            <w:hideMark/>
          </w:tcPr>
          <w:p w14:paraId="10DE8E6A" w14:textId="77777777" w:rsidR="0062711B" w:rsidRPr="0062711B" w:rsidRDefault="0062711B" w:rsidP="008568BA">
            <w:pPr>
              <w:spacing w:after="0" w:line="240" w:lineRule="auto"/>
              <w:jc w:val="both"/>
              <w:rPr>
                <w:rFonts w:ascii="Times New Roman" w:eastAsia="Times New Roman" w:hAnsi="Times New Roman" w:cs="Times New Roman"/>
                <w:sz w:val="20"/>
                <w:szCs w:val="20"/>
              </w:rPr>
            </w:pPr>
          </w:p>
        </w:tc>
      </w:tr>
      <w:tr w:rsidR="0062711B" w:rsidRPr="0062711B" w14:paraId="3AC7D502" w14:textId="77777777" w:rsidTr="00C559E9">
        <w:trPr>
          <w:gridBefore w:val="1"/>
          <w:gridAfter w:val="3"/>
          <w:wBefore w:w="425" w:type="dxa"/>
          <w:wAfter w:w="6884" w:type="dxa"/>
          <w:trHeight w:val="10927"/>
        </w:trPr>
        <w:tc>
          <w:tcPr>
            <w:tcW w:w="10490" w:type="dxa"/>
            <w:gridSpan w:val="3"/>
            <w:tcBorders>
              <w:top w:val="nil"/>
              <w:left w:val="nil"/>
              <w:bottom w:val="nil"/>
              <w:right w:val="nil"/>
            </w:tcBorders>
            <w:shd w:val="clear" w:color="auto" w:fill="auto"/>
            <w:noWrap/>
            <w:vAlign w:val="bottom"/>
          </w:tcPr>
          <w:p w14:paraId="343D3D96" w14:textId="77777777" w:rsidR="00565503" w:rsidRPr="0076027D" w:rsidRDefault="00565503" w:rsidP="008568BA">
            <w:pPr>
              <w:jc w:val="both"/>
              <w:rPr>
                <w:rFonts w:ascii="Bernard MT Condensed" w:hAnsi="Bernard MT Condensed"/>
                <w:b/>
                <w:sz w:val="52"/>
                <w:szCs w:val="52"/>
              </w:rPr>
            </w:pPr>
          </w:p>
        </w:tc>
        <w:tc>
          <w:tcPr>
            <w:tcW w:w="5263" w:type="dxa"/>
            <w:gridSpan w:val="2"/>
            <w:tcBorders>
              <w:top w:val="nil"/>
              <w:left w:val="nil"/>
              <w:bottom w:val="nil"/>
              <w:right w:val="nil"/>
            </w:tcBorders>
            <w:shd w:val="clear" w:color="auto" w:fill="auto"/>
            <w:noWrap/>
            <w:vAlign w:val="bottom"/>
            <w:hideMark/>
          </w:tcPr>
          <w:p w14:paraId="2C70849A" w14:textId="77777777" w:rsidR="0062711B" w:rsidRPr="0062711B" w:rsidRDefault="00565503" w:rsidP="008568BA">
            <w:pPr>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Ω</w:t>
            </w:r>
          </w:p>
        </w:tc>
        <w:tc>
          <w:tcPr>
            <w:tcW w:w="236" w:type="dxa"/>
            <w:tcBorders>
              <w:top w:val="nil"/>
              <w:left w:val="nil"/>
              <w:bottom w:val="nil"/>
              <w:right w:val="nil"/>
            </w:tcBorders>
            <w:shd w:val="clear" w:color="auto" w:fill="auto"/>
            <w:noWrap/>
            <w:vAlign w:val="bottom"/>
            <w:hideMark/>
          </w:tcPr>
          <w:p w14:paraId="739BCB01" w14:textId="77777777" w:rsidR="0062711B" w:rsidRPr="0062711B" w:rsidRDefault="0062711B" w:rsidP="008568BA">
            <w:pPr>
              <w:spacing w:after="0" w:line="240" w:lineRule="auto"/>
              <w:jc w:val="both"/>
              <w:rPr>
                <w:rFonts w:ascii="Times New Roman" w:eastAsia="Times New Roman" w:hAnsi="Times New Roman" w:cs="Times New Roman"/>
                <w:sz w:val="20"/>
                <w:szCs w:val="20"/>
              </w:rPr>
            </w:pPr>
          </w:p>
        </w:tc>
      </w:tr>
      <w:tr w:rsidR="0062711B" w:rsidRPr="0062711B" w14:paraId="6B42C502" w14:textId="77777777" w:rsidTr="00C559E9">
        <w:trPr>
          <w:gridBefore w:val="1"/>
          <w:gridAfter w:val="5"/>
          <w:wBefore w:w="425" w:type="dxa"/>
          <w:wAfter w:w="9194" w:type="dxa"/>
          <w:trHeight w:val="315"/>
        </w:trPr>
        <w:tc>
          <w:tcPr>
            <w:tcW w:w="10207" w:type="dxa"/>
            <w:tcBorders>
              <w:top w:val="nil"/>
              <w:left w:val="nil"/>
              <w:bottom w:val="nil"/>
              <w:right w:val="nil"/>
            </w:tcBorders>
            <w:shd w:val="clear" w:color="auto" w:fill="auto"/>
            <w:noWrap/>
            <w:vAlign w:val="bottom"/>
          </w:tcPr>
          <w:p w14:paraId="1F437A15" w14:textId="77777777" w:rsidR="00EE1588" w:rsidRPr="00C559E9" w:rsidRDefault="00EE1588" w:rsidP="00C559E9">
            <w:pPr>
              <w:spacing w:after="0" w:line="600" w:lineRule="auto"/>
              <w:jc w:val="both"/>
              <w:rPr>
                <w:rFonts w:ascii="Times New Roman" w:eastAsia="Times New Roman" w:hAnsi="Times New Roman" w:cs="Times New Roman"/>
                <w:b/>
                <w:sz w:val="24"/>
                <w:szCs w:val="24"/>
              </w:rPr>
            </w:pPr>
          </w:p>
        </w:tc>
        <w:tc>
          <w:tcPr>
            <w:tcW w:w="236" w:type="dxa"/>
            <w:tcBorders>
              <w:top w:val="nil"/>
              <w:left w:val="nil"/>
              <w:bottom w:val="nil"/>
              <w:right w:val="nil"/>
            </w:tcBorders>
            <w:shd w:val="clear" w:color="auto" w:fill="auto"/>
            <w:noWrap/>
            <w:vAlign w:val="bottom"/>
            <w:hideMark/>
          </w:tcPr>
          <w:p w14:paraId="7AAF2E9F" w14:textId="77777777" w:rsidR="0062711B" w:rsidRPr="0062711B" w:rsidRDefault="0062711B" w:rsidP="0062711B">
            <w:pPr>
              <w:spacing w:after="0" w:line="240" w:lineRule="auto"/>
              <w:rPr>
                <w:rFonts w:ascii="Times New Roman" w:eastAsia="Times New Roman" w:hAnsi="Times New Roman" w:cs="Times New Roman"/>
                <w:sz w:val="20"/>
                <w:szCs w:val="20"/>
              </w:rPr>
            </w:pPr>
          </w:p>
        </w:tc>
        <w:tc>
          <w:tcPr>
            <w:tcW w:w="3236" w:type="dxa"/>
            <w:gridSpan w:val="2"/>
            <w:tcBorders>
              <w:top w:val="nil"/>
              <w:left w:val="nil"/>
              <w:bottom w:val="nil"/>
              <w:right w:val="nil"/>
            </w:tcBorders>
            <w:shd w:val="clear" w:color="auto" w:fill="auto"/>
            <w:noWrap/>
            <w:vAlign w:val="bottom"/>
            <w:hideMark/>
          </w:tcPr>
          <w:p w14:paraId="2D9C9667" w14:textId="77777777" w:rsidR="0062711B" w:rsidRPr="0062711B" w:rsidRDefault="0062711B" w:rsidP="0062711B">
            <w:pPr>
              <w:spacing w:after="0" w:line="240" w:lineRule="auto"/>
              <w:rPr>
                <w:rFonts w:ascii="Times New Roman" w:eastAsia="Times New Roman" w:hAnsi="Times New Roman" w:cs="Times New Roman"/>
                <w:sz w:val="20"/>
                <w:szCs w:val="20"/>
              </w:rPr>
            </w:pPr>
          </w:p>
        </w:tc>
      </w:tr>
      <w:tr w:rsidR="0062711B" w:rsidRPr="0062711B" w14:paraId="026E2C63" w14:textId="77777777" w:rsidTr="00472A23">
        <w:trPr>
          <w:gridBefore w:val="1"/>
          <w:gridAfter w:val="5"/>
          <w:wBefore w:w="425" w:type="dxa"/>
          <w:wAfter w:w="9194" w:type="dxa"/>
          <w:trHeight w:val="315"/>
        </w:trPr>
        <w:tc>
          <w:tcPr>
            <w:tcW w:w="10207" w:type="dxa"/>
            <w:tcBorders>
              <w:top w:val="nil"/>
              <w:left w:val="nil"/>
              <w:bottom w:val="nil"/>
              <w:right w:val="nil"/>
            </w:tcBorders>
            <w:shd w:val="clear" w:color="auto" w:fill="auto"/>
            <w:noWrap/>
            <w:vAlign w:val="bottom"/>
            <w:hideMark/>
          </w:tcPr>
          <w:p w14:paraId="7B8CC486" w14:textId="77777777" w:rsidR="0062711B" w:rsidRPr="00EE1588" w:rsidRDefault="009702DD" w:rsidP="008568BA">
            <w:pPr>
              <w:spacing w:after="0" w:line="60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236" w:type="dxa"/>
            <w:tcBorders>
              <w:top w:val="nil"/>
              <w:left w:val="nil"/>
              <w:bottom w:val="nil"/>
              <w:right w:val="nil"/>
            </w:tcBorders>
            <w:shd w:val="clear" w:color="auto" w:fill="auto"/>
            <w:noWrap/>
            <w:vAlign w:val="bottom"/>
            <w:hideMark/>
          </w:tcPr>
          <w:p w14:paraId="625C50F9" w14:textId="77777777" w:rsidR="0062711B" w:rsidRPr="0062711B" w:rsidRDefault="0062711B" w:rsidP="0062711B">
            <w:pPr>
              <w:spacing w:after="0" w:line="240" w:lineRule="auto"/>
              <w:rPr>
                <w:rFonts w:ascii="Times New Roman" w:eastAsia="Times New Roman" w:hAnsi="Times New Roman" w:cs="Times New Roman"/>
                <w:sz w:val="20"/>
                <w:szCs w:val="20"/>
              </w:rPr>
            </w:pPr>
          </w:p>
        </w:tc>
        <w:tc>
          <w:tcPr>
            <w:tcW w:w="3236" w:type="dxa"/>
            <w:gridSpan w:val="2"/>
            <w:tcBorders>
              <w:top w:val="nil"/>
              <w:left w:val="nil"/>
              <w:bottom w:val="nil"/>
              <w:right w:val="nil"/>
            </w:tcBorders>
            <w:shd w:val="clear" w:color="auto" w:fill="auto"/>
            <w:noWrap/>
            <w:vAlign w:val="bottom"/>
            <w:hideMark/>
          </w:tcPr>
          <w:p w14:paraId="0A9B49E2" w14:textId="77777777" w:rsidR="0062711B" w:rsidRPr="0062711B" w:rsidRDefault="0062711B" w:rsidP="0062711B">
            <w:pPr>
              <w:spacing w:after="0" w:line="240" w:lineRule="auto"/>
              <w:rPr>
                <w:rFonts w:ascii="Times New Roman" w:eastAsia="Times New Roman" w:hAnsi="Times New Roman" w:cs="Times New Roman"/>
                <w:sz w:val="20"/>
                <w:szCs w:val="20"/>
              </w:rPr>
            </w:pPr>
          </w:p>
        </w:tc>
      </w:tr>
    </w:tbl>
    <w:p w14:paraId="57A977CD" w14:textId="77777777" w:rsidR="0062711B" w:rsidRPr="009702DD" w:rsidRDefault="0062711B" w:rsidP="009702DD">
      <w:pPr>
        <w:rPr>
          <w:sz w:val="24"/>
          <w:szCs w:val="24"/>
        </w:rPr>
      </w:pPr>
    </w:p>
    <w:p w14:paraId="1B65E944" w14:textId="77777777" w:rsidR="0062711B" w:rsidRDefault="00565503" w:rsidP="00255323">
      <w:pPr>
        <w:pStyle w:val="ListParagraph"/>
        <w:rPr>
          <w:sz w:val="24"/>
          <w:szCs w:val="24"/>
        </w:rPr>
      </w:pPr>
      <w:r>
        <w:rPr>
          <w:sz w:val="24"/>
          <w:szCs w:val="24"/>
        </w:rPr>
        <w:t xml:space="preserve">                                             </w:t>
      </w:r>
      <w:r w:rsidR="00F701AF">
        <w:rPr>
          <w:sz w:val="24"/>
          <w:szCs w:val="24"/>
        </w:rPr>
        <w:t xml:space="preserve">                           </w:t>
      </w:r>
    </w:p>
    <w:p w14:paraId="2FB28E80" w14:textId="77777777" w:rsidR="0062711B" w:rsidRDefault="0062711B" w:rsidP="00255323">
      <w:pPr>
        <w:pStyle w:val="ListParagraph"/>
        <w:rPr>
          <w:sz w:val="24"/>
          <w:szCs w:val="24"/>
        </w:rPr>
      </w:pPr>
    </w:p>
    <w:p w14:paraId="70119233" w14:textId="77777777" w:rsidR="0062711B" w:rsidRDefault="0062711B" w:rsidP="00255323">
      <w:pPr>
        <w:pStyle w:val="ListParagraph"/>
        <w:rPr>
          <w:sz w:val="24"/>
          <w:szCs w:val="24"/>
        </w:rPr>
      </w:pPr>
    </w:p>
    <w:p w14:paraId="6D22963A" w14:textId="77777777" w:rsidR="0062711B" w:rsidRDefault="0062711B" w:rsidP="00255323">
      <w:pPr>
        <w:pStyle w:val="ListParagraph"/>
        <w:rPr>
          <w:sz w:val="24"/>
          <w:szCs w:val="24"/>
        </w:rPr>
      </w:pPr>
    </w:p>
    <w:p w14:paraId="62EA17E5" w14:textId="77777777" w:rsidR="0062711B" w:rsidRDefault="0062711B" w:rsidP="00255323">
      <w:pPr>
        <w:pStyle w:val="ListParagraph"/>
        <w:rPr>
          <w:sz w:val="24"/>
          <w:szCs w:val="24"/>
        </w:rPr>
      </w:pPr>
    </w:p>
    <w:p w14:paraId="49A38A87" w14:textId="77777777" w:rsidR="0062711B" w:rsidRPr="002B55F5" w:rsidRDefault="0062711B" w:rsidP="00255323">
      <w:pPr>
        <w:pStyle w:val="ListParagraph"/>
        <w:rPr>
          <w:sz w:val="24"/>
          <w:szCs w:val="24"/>
        </w:rPr>
      </w:pPr>
    </w:p>
    <w:sectPr w:rsidR="0062711B" w:rsidRPr="002B55F5" w:rsidSect="00E27618">
      <w:pgSz w:w="12240" w:h="15840"/>
      <w:pgMar w:top="1134" w:right="1644" w:bottom="851"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FB01316" w14:textId="77777777" w:rsidR="00956AA6" w:rsidRDefault="00956AA6" w:rsidP="00545822">
      <w:pPr>
        <w:spacing w:after="0" w:line="240" w:lineRule="auto"/>
      </w:pPr>
      <w:r>
        <w:separator/>
      </w:r>
    </w:p>
  </w:endnote>
  <w:endnote w:type="continuationSeparator" w:id="0">
    <w:p w14:paraId="48E6C764" w14:textId="77777777" w:rsidR="00956AA6" w:rsidRDefault="00956AA6" w:rsidP="005458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lgerian">
    <w:panose1 w:val="04020705040A02060702"/>
    <w:charset w:val="00"/>
    <w:family w:val="decorativ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opperplate Gothic Bold">
    <w:panose1 w:val="020E0705020206020404"/>
    <w:charset w:val="00"/>
    <w:family w:val="swiss"/>
    <w:pitch w:val="variable"/>
    <w:sig w:usb0="00000003" w:usb1="00000000" w:usb2="00000000" w:usb3="00000000" w:csb0="00000001" w:csb1="00000000"/>
  </w:font>
  <w:font w:name="Bernard MT Condensed">
    <w:panose1 w:val="02050806060905020404"/>
    <w:charset w:val="00"/>
    <w:family w:val="roman"/>
    <w:pitch w:val="variable"/>
    <w:sig w:usb0="00000003" w:usb1="00000000" w:usb2="00000000" w:usb3="00000000" w:csb0="00000001" w:csb1="00000000"/>
  </w:font>
  <w:font w:name="Bauhaus 93">
    <w:panose1 w:val="04030905020B02020C02"/>
    <w:charset w:val="00"/>
    <w:family w:val="decorative"/>
    <w:pitch w:val="variable"/>
    <w:sig w:usb0="00000003" w:usb1="00000000" w:usb2="00000000" w:usb3="00000000" w:csb0="00000001" w:csb1="00000000"/>
  </w:font>
  <w:font w:name="Nunito">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797278C" w14:textId="77777777" w:rsidR="00956AA6" w:rsidRDefault="00956AA6" w:rsidP="00545822">
      <w:pPr>
        <w:spacing w:after="0" w:line="240" w:lineRule="auto"/>
      </w:pPr>
      <w:r>
        <w:separator/>
      </w:r>
    </w:p>
  </w:footnote>
  <w:footnote w:type="continuationSeparator" w:id="0">
    <w:p w14:paraId="3E041A02" w14:textId="77777777" w:rsidR="00956AA6" w:rsidRDefault="00956AA6" w:rsidP="0054582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8" type="#_x0000_t75" style="width:14.25pt;height:14.25pt" o:bullet="t">
        <v:imagedata r:id="rId1" o:title="mso8A2E"/>
      </v:shape>
    </w:pict>
  </w:numPicBullet>
  <w:abstractNum w:abstractNumId="0" w15:restartNumberingAfterBreak="0">
    <w:nsid w:val="0ADC43E1"/>
    <w:multiLevelType w:val="hybridMultilevel"/>
    <w:tmpl w:val="D690E9DE"/>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9AA4C5D"/>
    <w:multiLevelType w:val="hybridMultilevel"/>
    <w:tmpl w:val="2CD68A76"/>
    <w:lvl w:ilvl="0" w:tplc="3374562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FA35BE3"/>
    <w:multiLevelType w:val="hybridMultilevel"/>
    <w:tmpl w:val="C682E1B4"/>
    <w:lvl w:ilvl="0" w:tplc="0E08BCB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239F3CDF"/>
    <w:multiLevelType w:val="hybridMultilevel"/>
    <w:tmpl w:val="4A620F46"/>
    <w:lvl w:ilvl="0" w:tplc="0606611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DDA04B9"/>
    <w:multiLevelType w:val="hybridMultilevel"/>
    <w:tmpl w:val="A972067A"/>
    <w:lvl w:ilvl="0" w:tplc="0E040F3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46D05421"/>
    <w:multiLevelType w:val="hybridMultilevel"/>
    <w:tmpl w:val="CEEE34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335575B"/>
    <w:multiLevelType w:val="hybridMultilevel"/>
    <w:tmpl w:val="2E7CC5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6982E0E"/>
    <w:multiLevelType w:val="hybridMultilevel"/>
    <w:tmpl w:val="C4DA877E"/>
    <w:lvl w:ilvl="0" w:tplc="04090007">
      <w:start w:val="1"/>
      <w:numFmt w:val="bullet"/>
      <w:lvlText w:val=""/>
      <w:lvlPicBulletId w:val="0"/>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6C1A6118"/>
    <w:multiLevelType w:val="hybridMultilevel"/>
    <w:tmpl w:val="FD265E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6"/>
  </w:num>
  <w:num w:numId="3">
    <w:abstractNumId w:val="8"/>
  </w:num>
  <w:num w:numId="4">
    <w:abstractNumId w:val="4"/>
  </w:num>
  <w:num w:numId="5">
    <w:abstractNumId w:val="3"/>
  </w:num>
  <w:num w:numId="6">
    <w:abstractNumId w:val="1"/>
  </w:num>
  <w:num w:numId="7">
    <w:abstractNumId w:val="0"/>
  </w:num>
  <w:num w:numId="8">
    <w:abstractNumId w:val="5"/>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26BF"/>
    <w:rsid w:val="00002406"/>
    <w:rsid w:val="0001074F"/>
    <w:rsid w:val="0001101D"/>
    <w:rsid w:val="00021FAE"/>
    <w:rsid w:val="000308F8"/>
    <w:rsid w:val="00030E3E"/>
    <w:rsid w:val="00031477"/>
    <w:rsid w:val="000454CC"/>
    <w:rsid w:val="000471A6"/>
    <w:rsid w:val="00047B60"/>
    <w:rsid w:val="000530B9"/>
    <w:rsid w:val="00055092"/>
    <w:rsid w:val="00076201"/>
    <w:rsid w:val="0008000E"/>
    <w:rsid w:val="0008080D"/>
    <w:rsid w:val="000810B7"/>
    <w:rsid w:val="00081EF7"/>
    <w:rsid w:val="0009127D"/>
    <w:rsid w:val="000928CC"/>
    <w:rsid w:val="000A528F"/>
    <w:rsid w:val="000B693A"/>
    <w:rsid w:val="000C5EE5"/>
    <w:rsid w:val="000D0BE8"/>
    <w:rsid w:val="000D579D"/>
    <w:rsid w:val="000D7E45"/>
    <w:rsid w:val="000E0CB4"/>
    <w:rsid w:val="000E1C4B"/>
    <w:rsid w:val="000E4529"/>
    <w:rsid w:val="000E466E"/>
    <w:rsid w:val="000F6BC6"/>
    <w:rsid w:val="00102A8C"/>
    <w:rsid w:val="001065B3"/>
    <w:rsid w:val="00106C09"/>
    <w:rsid w:val="00111518"/>
    <w:rsid w:val="00114340"/>
    <w:rsid w:val="001153A1"/>
    <w:rsid w:val="00115ECF"/>
    <w:rsid w:val="001205CD"/>
    <w:rsid w:val="00121704"/>
    <w:rsid w:val="001241F8"/>
    <w:rsid w:val="00141E9A"/>
    <w:rsid w:val="001426BF"/>
    <w:rsid w:val="00144300"/>
    <w:rsid w:val="00144A35"/>
    <w:rsid w:val="00144D73"/>
    <w:rsid w:val="00144FA5"/>
    <w:rsid w:val="00150171"/>
    <w:rsid w:val="00154129"/>
    <w:rsid w:val="001554E1"/>
    <w:rsid w:val="001702D0"/>
    <w:rsid w:val="00185D2C"/>
    <w:rsid w:val="001A4BB7"/>
    <w:rsid w:val="001B0D21"/>
    <w:rsid w:val="001B5A54"/>
    <w:rsid w:val="001C11C7"/>
    <w:rsid w:val="001C3116"/>
    <w:rsid w:val="001C498A"/>
    <w:rsid w:val="001D3F56"/>
    <w:rsid w:val="001D40FA"/>
    <w:rsid w:val="001E06AE"/>
    <w:rsid w:val="001E33D3"/>
    <w:rsid w:val="001F1483"/>
    <w:rsid w:val="001F1491"/>
    <w:rsid w:val="001F5A47"/>
    <w:rsid w:val="00204821"/>
    <w:rsid w:val="002123B0"/>
    <w:rsid w:val="0021314E"/>
    <w:rsid w:val="00214DB3"/>
    <w:rsid w:val="002223E9"/>
    <w:rsid w:val="00225021"/>
    <w:rsid w:val="00234D7C"/>
    <w:rsid w:val="00235E79"/>
    <w:rsid w:val="00244B2E"/>
    <w:rsid w:val="00245015"/>
    <w:rsid w:val="00246338"/>
    <w:rsid w:val="00247D64"/>
    <w:rsid w:val="00254062"/>
    <w:rsid w:val="0025509B"/>
    <w:rsid w:val="00255323"/>
    <w:rsid w:val="00260113"/>
    <w:rsid w:val="00263BA5"/>
    <w:rsid w:val="00264C51"/>
    <w:rsid w:val="00270D13"/>
    <w:rsid w:val="00273900"/>
    <w:rsid w:val="00280723"/>
    <w:rsid w:val="0028387D"/>
    <w:rsid w:val="00286B3D"/>
    <w:rsid w:val="002B0A24"/>
    <w:rsid w:val="002B54AB"/>
    <w:rsid w:val="002B55F5"/>
    <w:rsid w:val="002C15C3"/>
    <w:rsid w:val="002C17BC"/>
    <w:rsid w:val="002C1A78"/>
    <w:rsid w:val="002D47C4"/>
    <w:rsid w:val="002D7A82"/>
    <w:rsid w:val="002E6EE0"/>
    <w:rsid w:val="002F2F40"/>
    <w:rsid w:val="00300312"/>
    <w:rsid w:val="003009A4"/>
    <w:rsid w:val="00301533"/>
    <w:rsid w:val="00306D11"/>
    <w:rsid w:val="00306D1C"/>
    <w:rsid w:val="00314CDE"/>
    <w:rsid w:val="003150F2"/>
    <w:rsid w:val="00337832"/>
    <w:rsid w:val="00343A2F"/>
    <w:rsid w:val="00343AB7"/>
    <w:rsid w:val="00344A2E"/>
    <w:rsid w:val="003478E1"/>
    <w:rsid w:val="003523BE"/>
    <w:rsid w:val="00355B75"/>
    <w:rsid w:val="00360C9B"/>
    <w:rsid w:val="00372DBB"/>
    <w:rsid w:val="0037499A"/>
    <w:rsid w:val="00375B41"/>
    <w:rsid w:val="00381B10"/>
    <w:rsid w:val="003836CE"/>
    <w:rsid w:val="003955D1"/>
    <w:rsid w:val="003A4179"/>
    <w:rsid w:val="003A7A7B"/>
    <w:rsid w:val="003B3CEF"/>
    <w:rsid w:val="003B51C9"/>
    <w:rsid w:val="003B7AEF"/>
    <w:rsid w:val="003C10F9"/>
    <w:rsid w:val="003C4309"/>
    <w:rsid w:val="003D1576"/>
    <w:rsid w:val="003D5284"/>
    <w:rsid w:val="003E01DB"/>
    <w:rsid w:val="003E0DCA"/>
    <w:rsid w:val="003E4722"/>
    <w:rsid w:val="003F02BC"/>
    <w:rsid w:val="003F3148"/>
    <w:rsid w:val="003F6500"/>
    <w:rsid w:val="003F7C62"/>
    <w:rsid w:val="00403A39"/>
    <w:rsid w:val="00410FAB"/>
    <w:rsid w:val="004132D7"/>
    <w:rsid w:val="00415C31"/>
    <w:rsid w:val="00421B27"/>
    <w:rsid w:val="004225C4"/>
    <w:rsid w:val="00427858"/>
    <w:rsid w:val="004315AE"/>
    <w:rsid w:val="00431D89"/>
    <w:rsid w:val="00436BDC"/>
    <w:rsid w:val="004371C7"/>
    <w:rsid w:val="00452383"/>
    <w:rsid w:val="0045387C"/>
    <w:rsid w:val="00454602"/>
    <w:rsid w:val="004621D2"/>
    <w:rsid w:val="00463915"/>
    <w:rsid w:val="004677B0"/>
    <w:rsid w:val="00472A23"/>
    <w:rsid w:val="00473B10"/>
    <w:rsid w:val="00482F18"/>
    <w:rsid w:val="00485259"/>
    <w:rsid w:val="0048530F"/>
    <w:rsid w:val="00486065"/>
    <w:rsid w:val="00487A86"/>
    <w:rsid w:val="0049036D"/>
    <w:rsid w:val="00497934"/>
    <w:rsid w:val="00497AD6"/>
    <w:rsid w:val="004A0796"/>
    <w:rsid w:val="004A093E"/>
    <w:rsid w:val="004A17DE"/>
    <w:rsid w:val="004A6E58"/>
    <w:rsid w:val="004B3473"/>
    <w:rsid w:val="004B50F2"/>
    <w:rsid w:val="004C1E40"/>
    <w:rsid w:val="004C57B6"/>
    <w:rsid w:val="004C689F"/>
    <w:rsid w:val="004E1850"/>
    <w:rsid w:val="004E2B4D"/>
    <w:rsid w:val="004F5305"/>
    <w:rsid w:val="005029E6"/>
    <w:rsid w:val="00503276"/>
    <w:rsid w:val="0050516C"/>
    <w:rsid w:val="005075BD"/>
    <w:rsid w:val="00510072"/>
    <w:rsid w:val="00515A68"/>
    <w:rsid w:val="00521D7C"/>
    <w:rsid w:val="005246AE"/>
    <w:rsid w:val="00531072"/>
    <w:rsid w:val="005319BD"/>
    <w:rsid w:val="00535A8D"/>
    <w:rsid w:val="00536FDC"/>
    <w:rsid w:val="00541068"/>
    <w:rsid w:val="00541A66"/>
    <w:rsid w:val="005433E6"/>
    <w:rsid w:val="00545822"/>
    <w:rsid w:val="00547F0B"/>
    <w:rsid w:val="00553C1D"/>
    <w:rsid w:val="00557892"/>
    <w:rsid w:val="00565503"/>
    <w:rsid w:val="00567031"/>
    <w:rsid w:val="005808EA"/>
    <w:rsid w:val="00583DC3"/>
    <w:rsid w:val="00590621"/>
    <w:rsid w:val="00592679"/>
    <w:rsid w:val="00593261"/>
    <w:rsid w:val="00596197"/>
    <w:rsid w:val="005B0E14"/>
    <w:rsid w:val="005B5F23"/>
    <w:rsid w:val="005C0AFF"/>
    <w:rsid w:val="005C3B06"/>
    <w:rsid w:val="005C5D84"/>
    <w:rsid w:val="005D38A2"/>
    <w:rsid w:val="005D43EE"/>
    <w:rsid w:val="005E32BA"/>
    <w:rsid w:val="005F6D1A"/>
    <w:rsid w:val="0060665A"/>
    <w:rsid w:val="00606ED2"/>
    <w:rsid w:val="00607C5D"/>
    <w:rsid w:val="0062711B"/>
    <w:rsid w:val="00627E64"/>
    <w:rsid w:val="00654402"/>
    <w:rsid w:val="00654D9B"/>
    <w:rsid w:val="0066188A"/>
    <w:rsid w:val="00663F73"/>
    <w:rsid w:val="00670FA9"/>
    <w:rsid w:val="006754C2"/>
    <w:rsid w:val="0067682B"/>
    <w:rsid w:val="00685201"/>
    <w:rsid w:val="00685565"/>
    <w:rsid w:val="00691EB0"/>
    <w:rsid w:val="006B03CF"/>
    <w:rsid w:val="006B1373"/>
    <w:rsid w:val="006B15D5"/>
    <w:rsid w:val="006B2D70"/>
    <w:rsid w:val="006C0060"/>
    <w:rsid w:val="006D062C"/>
    <w:rsid w:val="006D63CB"/>
    <w:rsid w:val="006D673E"/>
    <w:rsid w:val="006E3CCF"/>
    <w:rsid w:val="006E4F07"/>
    <w:rsid w:val="007043A6"/>
    <w:rsid w:val="0071756A"/>
    <w:rsid w:val="007222E4"/>
    <w:rsid w:val="00730A5C"/>
    <w:rsid w:val="00734915"/>
    <w:rsid w:val="00752849"/>
    <w:rsid w:val="007561EE"/>
    <w:rsid w:val="0076027D"/>
    <w:rsid w:val="007617C3"/>
    <w:rsid w:val="0076225F"/>
    <w:rsid w:val="00762987"/>
    <w:rsid w:val="0077256E"/>
    <w:rsid w:val="00775172"/>
    <w:rsid w:val="0078034A"/>
    <w:rsid w:val="007832FB"/>
    <w:rsid w:val="00785DC3"/>
    <w:rsid w:val="007967ED"/>
    <w:rsid w:val="007A08F6"/>
    <w:rsid w:val="007B204D"/>
    <w:rsid w:val="007B4D46"/>
    <w:rsid w:val="007C2B3B"/>
    <w:rsid w:val="007C348B"/>
    <w:rsid w:val="007C5DD6"/>
    <w:rsid w:val="007C7B89"/>
    <w:rsid w:val="007D0AEC"/>
    <w:rsid w:val="007D319A"/>
    <w:rsid w:val="007E34C4"/>
    <w:rsid w:val="007E7CFE"/>
    <w:rsid w:val="007F0ED9"/>
    <w:rsid w:val="007F6756"/>
    <w:rsid w:val="0080200F"/>
    <w:rsid w:val="00807B86"/>
    <w:rsid w:val="00811543"/>
    <w:rsid w:val="0081394D"/>
    <w:rsid w:val="008201A0"/>
    <w:rsid w:val="00824946"/>
    <w:rsid w:val="00824C88"/>
    <w:rsid w:val="00825C61"/>
    <w:rsid w:val="00825F94"/>
    <w:rsid w:val="00827639"/>
    <w:rsid w:val="00830AC6"/>
    <w:rsid w:val="008346DA"/>
    <w:rsid w:val="0084483E"/>
    <w:rsid w:val="008568BA"/>
    <w:rsid w:val="008610CD"/>
    <w:rsid w:val="00862A30"/>
    <w:rsid w:val="00866040"/>
    <w:rsid w:val="00870386"/>
    <w:rsid w:val="0087497A"/>
    <w:rsid w:val="008758C1"/>
    <w:rsid w:val="008929E0"/>
    <w:rsid w:val="008A217B"/>
    <w:rsid w:val="008A3F06"/>
    <w:rsid w:val="008A42CB"/>
    <w:rsid w:val="008A4F0F"/>
    <w:rsid w:val="008A5C30"/>
    <w:rsid w:val="008C4918"/>
    <w:rsid w:val="008C7CC1"/>
    <w:rsid w:val="008D5EE5"/>
    <w:rsid w:val="008E6A2C"/>
    <w:rsid w:val="008F41CB"/>
    <w:rsid w:val="00904106"/>
    <w:rsid w:val="00904571"/>
    <w:rsid w:val="00912705"/>
    <w:rsid w:val="00924E94"/>
    <w:rsid w:val="0093011F"/>
    <w:rsid w:val="009314BD"/>
    <w:rsid w:val="009370A6"/>
    <w:rsid w:val="00943921"/>
    <w:rsid w:val="00947257"/>
    <w:rsid w:val="00955A13"/>
    <w:rsid w:val="00956AA6"/>
    <w:rsid w:val="00966FE7"/>
    <w:rsid w:val="009702DD"/>
    <w:rsid w:val="00972EA4"/>
    <w:rsid w:val="00977340"/>
    <w:rsid w:val="00977F60"/>
    <w:rsid w:val="0098003E"/>
    <w:rsid w:val="00991E00"/>
    <w:rsid w:val="009967E2"/>
    <w:rsid w:val="009A1AAC"/>
    <w:rsid w:val="009A238F"/>
    <w:rsid w:val="009A62FD"/>
    <w:rsid w:val="009A77AC"/>
    <w:rsid w:val="009B053A"/>
    <w:rsid w:val="009B5639"/>
    <w:rsid w:val="009B6D58"/>
    <w:rsid w:val="009B768B"/>
    <w:rsid w:val="009C1070"/>
    <w:rsid w:val="009C3330"/>
    <w:rsid w:val="009C429A"/>
    <w:rsid w:val="009C53B2"/>
    <w:rsid w:val="009D2EFA"/>
    <w:rsid w:val="009D3568"/>
    <w:rsid w:val="009D4286"/>
    <w:rsid w:val="009D62CB"/>
    <w:rsid w:val="009E4859"/>
    <w:rsid w:val="00A003CE"/>
    <w:rsid w:val="00A2182E"/>
    <w:rsid w:val="00A21F81"/>
    <w:rsid w:val="00A23672"/>
    <w:rsid w:val="00A2482E"/>
    <w:rsid w:val="00A2703F"/>
    <w:rsid w:val="00A275C6"/>
    <w:rsid w:val="00A35AF5"/>
    <w:rsid w:val="00A363DA"/>
    <w:rsid w:val="00A365CD"/>
    <w:rsid w:val="00A47E67"/>
    <w:rsid w:val="00A547A2"/>
    <w:rsid w:val="00A65E1A"/>
    <w:rsid w:val="00A66180"/>
    <w:rsid w:val="00A7255B"/>
    <w:rsid w:val="00A733E6"/>
    <w:rsid w:val="00A77289"/>
    <w:rsid w:val="00A80FEC"/>
    <w:rsid w:val="00A816EF"/>
    <w:rsid w:val="00A8418F"/>
    <w:rsid w:val="00A87C1C"/>
    <w:rsid w:val="00AA5F51"/>
    <w:rsid w:val="00AD0C08"/>
    <w:rsid w:val="00AD11B3"/>
    <w:rsid w:val="00AD7FA2"/>
    <w:rsid w:val="00AF2707"/>
    <w:rsid w:val="00B0301E"/>
    <w:rsid w:val="00B11380"/>
    <w:rsid w:val="00B12240"/>
    <w:rsid w:val="00B15BCD"/>
    <w:rsid w:val="00B17119"/>
    <w:rsid w:val="00B17BDD"/>
    <w:rsid w:val="00B30C20"/>
    <w:rsid w:val="00B325FB"/>
    <w:rsid w:val="00B47E31"/>
    <w:rsid w:val="00B66DDF"/>
    <w:rsid w:val="00B67A3F"/>
    <w:rsid w:val="00B74256"/>
    <w:rsid w:val="00B75D65"/>
    <w:rsid w:val="00B857B3"/>
    <w:rsid w:val="00BA1A3E"/>
    <w:rsid w:val="00BA390E"/>
    <w:rsid w:val="00BA7E03"/>
    <w:rsid w:val="00BB43DB"/>
    <w:rsid w:val="00BC04C9"/>
    <w:rsid w:val="00BC27A1"/>
    <w:rsid w:val="00BC59C2"/>
    <w:rsid w:val="00BC655D"/>
    <w:rsid w:val="00BE50AE"/>
    <w:rsid w:val="00BE7A74"/>
    <w:rsid w:val="00BF1CE5"/>
    <w:rsid w:val="00C03397"/>
    <w:rsid w:val="00C04C60"/>
    <w:rsid w:val="00C14066"/>
    <w:rsid w:val="00C237DC"/>
    <w:rsid w:val="00C23C0A"/>
    <w:rsid w:val="00C26E88"/>
    <w:rsid w:val="00C307C9"/>
    <w:rsid w:val="00C31F04"/>
    <w:rsid w:val="00C33415"/>
    <w:rsid w:val="00C358F4"/>
    <w:rsid w:val="00C525D8"/>
    <w:rsid w:val="00C559E9"/>
    <w:rsid w:val="00C62739"/>
    <w:rsid w:val="00C65B89"/>
    <w:rsid w:val="00C700E4"/>
    <w:rsid w:val="00C722A6"/>
    <w:rsid w:val="00C72936"/>
    <w:rsid w:val="00C841C8"/>
    <w:rsid w:val="00C90A70"/>
    <w:rsid w:val="00C91145"/>
    <w:rsid w:val="00CA01A1"/>
    <w:rsid w:val="00CC2C5D"/>
    <w:rsid w:val="00CC6B73"/>
    <w:rsid w:val="00CC71F9"/>
    <w:rsid w:val="00CD3D5A"/>
    <w:rsid w:val="00CD3D76"/>
    <w:rsid w:val="00CF01D9"/>
    <w:rsid w:val="00CF189D"/>
    <w:rsid w:val="00D10A61"/>
    <w:rsid w:val="00D14FBA"/>
    <w:rsid w:val="00D31D2D"/>
    <w:rsid w:val="00D35B31"/>
    <w:rsid w:val="00D42B28"/>
    <w:rsid w:val="00D42CC1"/>
    <w:rsid w:val="00D624FB"/>
    <w:rsid w:val="00D6712B"/>
    <w:rsid w:val="00D7213F"/>
    <w:rsid w:val="00D73431"/>
    <w:rsid w:val="00D87E80"/>
    <w:rsid w:val="00D90E25"/>
    <w:rsid w:val="00D94887"/>
    <w:rsid w:val="00D95514"/>
    <w:rsid w:val="00DA035E"/>
    <w:rsid w:val="00DA0920"/>
    <w:rsid w:val="00DB122A"/>
    <w:rsid w:val="00DB2E53"/>
    <w:rsid w:val="00DB755B"/>
    <w:rsid w:val="00DB7846"/>
    <w:rsid w:val="00DC02CC"/>
    <w:rsid w:val="00DC66C1"/>
    <w:rsid w:val="00DC6DA2"/>
    <w:rsid w:val="00DC734A"/>
    <w:rsid w:val="00DD190B"/>
    <w:rsid w:val="00DE1755"/>
    <w:rsid w:val="00DE3082"/>
    <w:rsid w:val="00DF0DC4"/>
    <w:rsid w:val="00DF0EE0"/>
    <w:rsid w:val="00DF1A35"/>
    <w:rsid w:val="00DF6AE6"/>
    <w:rsid w:val="00E072DB"/>
    <w:rsid w:val="00E07AEB"/>
    <w:rsid w:val="00E2231C"/>
    <w:rsid w:val="00E27618"/>
    <w:rsid w:val="00E2774B"/>
    <w:rsid w:val="00E309DF"/>
    <w:rsid w:val="00E421FA"/>
    <w:rsid w:val="00E424FE"/>
    <w:rsid w:val="00E523BC"/>
    <w:rsid w:val="00E54030"/>
    <w:rsid w:val="00E70F25"/>
    <w:rsid w:val="00E74CDA"/>
    <w:rsid w:val="00E77BE6"/>
    <w:rsid w:val="00E85DBC"/>
    <w:rsid w:val="00EA32B8"/>
    <w:rsid w:val="00EB0FD8"/>
    <w:rsid w:val="00EB48E5"/>
    <w:rsid w:val="00EB4944"/>
    <w:rsid w:val="00EC28B2"/>
    <w:rsid w:val="00EC4AC5"/>
    <w:rsid w:val="00ED5E66"/>
    <w:rsid w:val="00EE1588"/>
    <w:rsid w:val="00EE2701"/>
    <w:rsid w:val="00EE2F7E"/>
    <w:rsid w:val="00EF0AE1"/>
    <w:rsid w:val="00EF3F8E"/>
    <w:rsid w:val="00EF447D"/>
    <w:rsid w:val="00EF5E1E"/>
    <w:rsid w:val="00F028F6"/>
    <w:rsid w:val="00F10CB8"/>
    <w:rsid w:val="00F115C1"/>
    <w:rsid w:val="00F17213"/>
    <w:rsid w:val="00F17797"/>
    <w:rsid w:val="00F20DCC"/>
    <w:rsid w:val="00F22044"/>
    <w:rsid w:val="00F31F84"/>
    <w:rsid w:val="00F40FC9"/>
    <w:rsid w:val="00F456D2"/>
    <w:rsid w:val="00F45FA9"/>
    <w:rsid w:val="00F516D8"/>
    <w:rsid w:val="00F520B7"/>
    <w:rsid w:val="00F565F1"/>
    <w:rsid w:val="00F67357"/>
    <w:rsid w:val="00F67A50"/>
    <w:rsid w:val="00F701AF"/>
    <w:rsid w:val="00F71B31"/>
    <w:rsid w:val="00F759BC"/>
    <w:rsid w:val="00F76991"/>
    <w:rsid w:val="00F807E0"/>
    <w:rsid w:val="00F856E8"/>
    <w:rsid w:val="00F93ADB"/>
    <w:rsid w:val="00F9576E"/>
    <w:rsid w:val="00F96F2A"/>
    <w:rsid w:val="00FA3128"/>
    <w:rsid w:val="00FB3EAE"/>
    <w:rsid w:val="00FD0676"/>
    <w:rsid w:val="00FD0DD5"/>
    <w:rsid w:val="00FD1BA8"/>
    <w:rsid w:val="00FE1BD0"/>
    <w:rsid w:val="00FE4A0B"/>
    <w:rsid w:val="00FE561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3"/>
    <o:shapelayout v:ext="edit">
      <o:idmap v:ext="edit" data="1"/>
    </o:shapelayout>
  </w:shapeDefaults>
  <w:decimalSymbol w:val="."/>
  <w:listSeparator w:val=","/>
  <w14:docId w14:val="79691B8A"/>
  <w15:chartTrackingRefBased/>
  <w15:docId w15:val="{8D73F04E-79E5-4BAE-BB0E-B7B5B068FE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426BF"/>
    <w:pPr>
      <w:ind w:left="720"/>
      <w:contextualSpacing/>
    </w:pPr>
  </w:style>
  <w:style w:type="paragraph" w:styleId="NoSpacing">
    <w:name w:val="No Spacing"/>
    <w:uiPriority w:val="1"/>
    <w:qFormat/>
    <w:rsid w:val="003E01DB"/>
    <w:pPr>
      <w:spacing w:after="0" w:line="240" w:lineRule="auto"/>
    </w:pPr>
  </w:style>
  <w:style w:type="table" w:styleId="TableGrid">
    <w:name w:val="Table Grid"/>
    <w:basedOn w:val="TableNormal"/>
    <w:uiPriority w:val="39"/>
    <w:rsid w:val="002553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5458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545822"/>
  </w:style>
  <w:style w:type="paragraph" w:styleId="Footer">
    <w:name w:val="footer"/>
    <w:basedOn w:val="Normal"/>
    <w:link w:val="FooterChar"/>
    <w:uiPriority w:val="99"/>
    <w:unhideWhenUsed/>
    <w:rsid w:val="005458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545822"/>
  </w:style>
  <w:style w:type="paragraph" w:styleId="BalloonText">
    <w:name w:val="Balloon Text"/>
    <w:basedOn w:val="Normal"/>
    <w:link w:val="BalloonTextChar"/>
    <w:uiPriority w:val="99"/>
    <w:semiHidden/>
    <w:unhideWhenUsed/>
    <w:rsid w:val="006754C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754C2"/>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27306142">
      <w:bodyDiv w:val="1"/>
      <w:marLeft w:val="0"/>
      <w:marRight w:val="0"/>
      <w:marTop w:val="0"/>
      <w:marBottom w:val="0"/>
      <w:divBdr>
        <w:top w:val="none" w:sz="0" w:space="0" w:color="auto"/>
        <w:left w:val="none" w:sz="0" w:space="0" w:color="auto"/>
        <w:bottom w:val="none" w:sz="0" w:space="0" w:color="auto"/>
        <w:right w:val="none" w:sz="0" w:space="0" w:color="auto"/>
      </w:divBdr>
    </w:div>
    <w:div w:id="294799659">
      <w:bodyDiv w:val="1"/>
      <w:marLeft w:val="0"/>
      <w:marRight w:val="0"/>
      <w:marTop w:val="0"/>
      <w:marBottom w:val="0"/>
      <w:divBdr>
        <w:top w:val="none" w:sz="0" w:space="0" w:color="auto"/>
        <w:left w:val="none" w:sz="0" w:space="0" w:color="auto"/>
        <w:bottom w:val="none" w:sz="0" w:space="0" w:color="auto"/>
        <w:right w:val="none" w:sz="0" w:space="0" w:color="auto"/>
      </w:divBdr>
    </w:div>
    <w:div w:id="514226579">
      <w:bodyDiv w:val="1"/>
      <w:marLeft w:val="0"/>
      <w:marRight w:val="0"/>
      <w:marTop w:val="0"/>
      <w:marBottom w:val="0"/>
      <w:divBdr>
        <w:top w:val="none" w:sz="0" w:space="0" w:color="auto"/>
        <w:left w:val="none" w:sz="0" w:space="0" w:color="auto"/>
        <w:bottom w:val="none" w:sz="0" w:space="0" w:color="auto"/>
        <w:right w:val="none" w:sz="0" w:space="0" w:color="auto"/>
      </w:divBdr>
    </w:div>
    <w:div w:id="521094542">
      <w:bodyDiv w:val="1"/>
      <w:marLeft w:val="0"/>
      <w:marRight w:val="0"/>
      <w:marTop w:val="0"/>
      <w:marBottom w:val="0"/>
      <w:divBdr>
        <w:top w:val="none" w:sz="0" w:space="0" w:color="auto"/>
        <w:left w:val="none" w:sz="0" w:space="0" w:color="auto"/>
        <w:bottom w:val="none" w:sz="0" w:space="0" w:color="auto"/>
        <w:right w:val="none" w:sz="0" w:space="0" w:color="auto"/>
      </w:divBdr>
    </w:div>
    <w:div w:id="632754868">
      <w:bodyDiv w:val="1"/>
      <w:marLeft w:val="0"/>
      <w:marRight w:val="0"/>
      <w:marTop w:val="0"/>
      <w:marBottom w:val="0"/>
      <w:divBdr>
        <w:top w:val="none" w:sz="0" w:space="0" w:color="auto"/>
        <w:left w:val="none" w:sz="0" w:space="0" w:color="auto"/>
        <w:bottom w:val="none" w:sz="0" w:space="0" w:color="auto"/>
        <w:right w:val="none" w:sz="0" w:space="0" w:color="auto"/>
      </w:divBdr>
    </w:div>
    <w:div w:id="872959125">
      <w:bodyDiv w:val="1"/>
      <w:marLeft w:val="0"/>
      <w:marRight w:val="0"/>
      <w:marTop w:val="0"/>
      <w:marBottom w:val="0"/>
      <w:divBdr>
        <w:top w:val="none" w:sz="0" w:space="0" w:color="auto"/>
        <w:left w:val="none" w:sz="0" w:space="0" w:color="auto"/>
        <w:bottom w:val="none" w:sz="0" w:space="0" w:color="auto"/>
        <w:right w:val="none" w:sz="0" w:space="0" w:color="auto"/>
      </w:divBdr>
    </w:div>
    <w:div w:id="1273316834">
      <w:bodyDiv w:val="1"/>
      <w:marLeft w:val="0"/>
      <w:marRight w:val="0"/>
      <w:marTop w:val="0"/>
      <w:marBottom w:val="0"/>
      <w:divBdr>
        <w:top w:val="none" w:sz="0" w:space="0" w:color="auto"/>
        <w:left w:val="none" w:sz="0" w:space="0" w:color="auto"/>
        <w:bottom w:val="none" w:sz="0" w:space="0" w:color="auto"/>
        <w:right w:val="none" w:sz="0" w:space="0" w:color="auto"/>
      </w:divBdr>
    </w:div>
    <w:div w:id="1765035923">
      <w:bodyDiv w:val="1"/>
      <w:marLeft w:val="0"/>
      <w:marRight w:val="0"/>
      <w:marTop w:val="0"/>
      <w:marBottom w:val="0"/>
      <w:divBdr>
        <w:top w:val="none" w:sz="0" w:space="0" w:color="auto"/>
        <w:left w:val="none" w:sz="0" w:space="0" w:color="auto"/>
        <w:bottom w:val="none" w:sz="0" w:space="0" w:color="auto"/>
        <w:right w:val="none" w:sz="0" w:space="0" w:color="auto"/>
      </w:divBdr>
    </w:div>
    <w:div w:id="1825849642">
      <w:bodyDiv w:val="1"/>
      <w:marLeft w:val="0"/>
      <w:marRight w:val="0"/>
      <w:marTop w:val="0"/>
      <w:marBottom w:val="0"/>
      <w:divBdr>
        <w:top w:val="none" w:sz="0" w:space="0" w:color="auto"/>
        <w:left w:val="none" w:sz="0" w:space="0" w:color="auto"/>
        <w:bottom w:val="none" w:sz="0" w:space="0" w:color="auto"/>
        <w:right w:val="none" w:sz="0" w:space="0" w:color="auto"/>
      </w:divBdr>
    </w:div>
    <w:div w:id="1846237307">
      <w:bodyDiv w:val="1"/>
      <w:marLeft w:val="0"/>
      <w:marRight w:val="0"/>
      <w:marTop w:val="0"/>
      <w:marBottom w:val="0"/>
      <w:divBdr>
        <w:top w:val="none" w:sz="0" w:space="0" w:color="auto"/>
        <w:left w:val="none" w:sz="0" w:space="0" w:color="auto"/>
        <w:bottom w:val="none" w:sz="0" w:space="0" w:color="auto"/>
        <w:right w:val="none" w:sz="0" w:space="0" w:color="auto"/>
      </w:divBdr>
    </w:div>
    <w:div w:id="21125791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4.xml"/><Relationship Id="rId18" Type="http://schemas.openxmlformats.org/officeDocument/2006/relationships/diagramLayout" Target="diagrams/layout1.xml"/><Relationship Id="rId26" Type="http://schemas.openxmlformats.org/officeDocument/2006/relationships/image" Target="media/image6.jpeg"/><Relationship Id="rId3" Type="http://schemas.openxmlformats.org/officeDocument/2006/relationships/styles" Target="styles.xml"/><Relationship Id="rId21" Type="http://schemas.microsoft.com/office/2007/relationships/diagramDrawing" Target="diagrams/drawing1.xm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diagramData" Target="diagrams/data1.xml"/><Relationship Id="rId25" Type="http://schemas.openxmlformats.org/officeDocument/2006/relationships/image" Target="media/image5.jpeg"/><Relationship Id="rId33" Type="http://schemas.openxmlformats.org/officeDocument/2006/relationships/image" Target="media/image13.jpeg"/><Relationship Id="rId2" Type="http://schemas.openxmlformats.org/officeDocument/2006/relationships/numbering" Target="numbering.xml"/><Relationship Id="rId16" Type="http://schemas.openxmlformats.org/officeDocument/2006/relationships/package" Target="embeddings/Microsoft_Excel_Worksheet.xlsx"/><Relationship Id="rId20" Type="http://schemas.openxmlformats.org/officeDocument/2006/relationships/diagramColors" Target="diagrams/colors1.xml"/><Relationship Id="rId29"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chart" Target="charts/chart8.xml"/><Relationship Id="rId32" Type="http://schemas.openxmlformats.org/officeDocument/2006/relationships/image" Target="media/image12.jpeg"/><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chart" Target="charts/chart7.xml"/><Relationship Id="rId28" Type="http://schemas.openxmlformats.org/officeDocument/2006/relationships/image" Target="media/image8.jpeg"/><Relationship Id="rId10" Type="http://schemas.openxmlformats.org/officeDocument/2006/relationships/chart" Target="charts/chart1.xml"/><Relationship Id="rId19" Type="http://schemas.openxmlformats.org/officeDocument/2006/relationships/diagramQuickStyle" Target="diagrams/quickStyle1.xml"/><Relationship Id="rId31"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chart" Target="charts/chart5.xml"/><Relationship Id="rId22" Type="http://schemas.openxmlformats.org/officeDocument/2006/relationships/chart" Target="charts/chart6.xml"/><Relationship Id="rId27" Type="http://schemas.openxmlformats.org/officeDocument/2006/relationships/image" Target="media/image7.jpeg"/><Relationship Id="rId30" Type="http://schemas.openxmlformats.org/officeDocument/2006/relationships/image" Target="media/image10.jpeg"/><Relationship Id="rId35" Type="http://schemas.openxmlformats.org/officeDocument/2006/relationships/theme" Target="theme/theme1.xml"/><Relationship Id="rId8" Type="http://schemas.openxmlformats.org/officeDocument/2006/relationships/image" Target="media/image2.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DELL\Desktop\Citizen%20Budget%20Template_for%20Jan%2023rd%20Session_empty.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DELL\Desktop\Citizen%20Budget%20Template_for%20Jan%2023rd%20Session_empty.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DELL\Desktop\Citizen%20Budget%20Template_for%20Jan%2023rd%20Session_empty.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DELL\Desktop\Citizen%20Budget%20Template_for%20Jan%2023rd%20Session_empty.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DELL\Desktop\Citizen%20Budget%20Template_for%20Jan%2023rd%20Session_empty.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DELL\Desktop\Citizen%20Budget%20Template_for%20Jan%2023rd%20Session_empty.xlsx" TargetMode="External"/></Relationships>
</file>

<file path=word/charts/_rels/chart7.xml.rels><?xml version="1.0" encoding="UTF-8" standalone="yes"?>
<Relationships xmlns="http://schemas.openxmlformats.org/package/2006/relationships"><Relationship Id="rId3" Type="http://schemas.openxmlformats.org/officeDocument/2006/relationships/oleObject" Target="file:///C:\Users\DELL\AppData\Roaming\Microsoft\Excel\Citizen%20Budget%20Template_for%20Jan%2023rd%20Session_empty%20(version%202).xlsb" TargetMode="External"/><Relationship Id="rId2" Type="http://schemas.microsoft.com/office/2011/relationships/chartColorStyle" Target="colors1.xml"/><Relationship Id="rId1" Type="http://schemas.microsoft.com/office/2011/relationships/chartStyle" Target="style1.xml"/></Relationships>
</file>

<file path=word/charts/_rels/chart8.xml.rels><?xml version="1.0" encoding="UTF-8" standalone="yes"?>
<Relationships xmlns="http://schemas.openxmlformats.org/package/2006/relationships"><Relationship Id="rId1" Type="http://schemas.openxmlformats.org/officeDocument/2006/relationships/oleObject" Target="file:///C:\Users\DELL\AppData\Roaming\Microsoft\Excel\Citizen%20Budget%20Template_for%20Jan%2023rd%20Session_empty%20(version%202).xlsb"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sz="1500" b="0" strike="noStrike" spc="-1">
                <a:solidFill>
                  <a:srgbClr val="000000"/>
                </a:solidFill>
                <a:latin typeface="Calibri"/>
                <a:ea typeface="Calibri"/>
              </a:defRPr>
            </a:pPr>
            <a:r>
              <a:rPr lang="en-US" sz="1500" b="0" strike="noStrike" spc="-1">
                <a:solidFill>
                  <a:srgbClr val="000000"/>
                </a:solidFill>
                <a:latin typeface="Calibri"/>
                <a:ea typeface="Calibri"/>
              </a:rPr>
              <a:t>2020</a:t>
            </a:r>
            <a:r>
              <a:rPr lang="en-US" sz="1500" b="0" strike="noStrike" spc="-1" baseline="0">
                <a:solidFill>
                  <a:srgbClr val="000000"/>
                </a:solidFill>
                <a:latin typeface="Calibri"/>
                <a:ea typeface="Calibri"/>
              </a:rPr>
              <a:t> Revised Covid-19 Citizens</a:t>
            </a:r>
            <a:r>
              <a:rPr lang="en-US" sz="1500" b="0" strike="noStrike" spc="-1">
                <a:solidFill>
                  <a:srgbClr val="000000"/>
                </a:solidFill>
                <a:latin typeface="Calibri"/>
                <a:ea typeface="Calibri"/>
              </a:rPr>
              <a:t> Budget Revenue and Financing</a:t>
            </a:r>
          </a:p>
        </c:rich>
      </c:tx>
      <c:overlay val="0"/>
      <c:spPr>
        <a:noFill/>
        <a:ln>
          <a:noFill/>
        </a:ln>
      </c:spPr>
    </c:title>
    <c:autoTitleDeleted val="0"/>
    <c:plotArea>
      <c:layout/>
      <c:pieChart>
        <c:varyColors val="1"/>
        <c:ser>
          <c:idx val="0"/>
          <c:order val="0"/>
          <c:spPr>
            <a:gradFill>
              <a:gsLst>
                <a:gs pos="0">
                  <a:srgbClr val="6082CA"/>
                </a:gs>
                <a:gs pos="100000">
                  <a:srgbClr val="3D6FC9"/>
                </a:gs>
              </a:gsLst>
              <a:lin ang="5400000"/>
            </a:gradFill>
            <a:ln>
              <a:noFill/>
            </a:ln>
          </c:spPr>
          <c:dPt>
            <c:idx val="0"/>
            <c:bubble3D val="0"/>
            <c:spPr>
              <a:solidFill>
                <a:srgbClr val="3A61A7"/>
              </a:solidFill>
              <a:ln>
                <a:noFill/>
              </a:ln>
            </c:spPr>
            <c:extLst>
              <c:ext xmlns:c16="http://schemas.microsoft.com/office/drawing/2014/chart" uri="{C3380CC4-5D6E-409C-BE32-E72D297353CC}">
                <c16:uniqueId val="{00000001-8369-41AA-94E1-1C27E0901F46}"/>
              </c:ext>
            </c:extLst>
          </c:dPt>
          <c:dPt>
            <c:idx val="1"/>
            <c:bubble3D val="0"/>
            <c:spPr>
              <a:solidFill>
                <a:srgbClr val="C96A2A"/>
              </a:solidFill>
              <a:ln>
                <a:noFill/>
              </a:ln>
            </c:spPr>
            <c:extLst>
              <c:ext xmlns:c16="http://schemas.microsoft.com/office/drawing/2014/chart" uri="{C3380CC4-5D6E-409C-BE32-E72D297353CC}">
                <c16:uniqueId val="{00000003-8369-41AA-94E1-1C27E0901F46}"/>
              </c:ext>
            </c:extLst>
          </c:dPt>
          <c:dPt>
            <c:idx val="2"/>
            <c:bubble3D val="0"/>
            <c:spPr>
              <a:solidFill>
                <a:srgbClr val="8C8C8C"/>
              </a:solidFill>
              <a:ln>
                <a:noFill/>
              </a:ln>
            </c:spPr>
            <c:extLst>
              <c:ext xmlns:c16="http://schemas.microsoft.com/office/drawing/2014/chart" uri="{C3380CC4-5D6E-409C-BE32-E72D297353CC}">
                <c16:uniqueId val="{00000005-8369-41AA-94E1-1C27E0901F46}"/>
              </c:ext>
            </c:extLst>
          </c:dPt>
          <c:dPt>
            <c:idx val="3"/>
            <c:bubble3D val="0"/>
            <c:spPr>
              <a:solidFill>
                <a:srgbClr val="D9A300"/>
              </a:solidFill>
              <a:ln>
                <a:noFill/>
              </a:ln>
            </c:spPr>
            <c:extLst>
              <c:ext xmlns:c16="http://schemas.microsoft.com/office/drawing/2014/chart" uri="{C3380CC4-5D6E-409C-BE32-E72D297353CC}">
                <c16:uniqueId val="{00000007-8369-41AA-94E1-1C27E0901F46}"/>
              </c:ext>
            </c:extLst>
          </c:dPt>
          <c:dPt>
            <c:idx val="4"/>
            <c:bubble3D val="0"/>
            <c:spPr>
              <a:solidFill>
                <a:srgbClr val="4D84B5"/>
              </a:solidFill>
              <a:ln>
                <a:noFill/>
              </a:ln>
            </c:spPr>
            <c:extLst>
              <c:ext xmlns:c16="http://schemas.microsoft.com/office/drawing/2014/chart" uri="{C3380CC4-5D6E-409C-BE32-E72D297353CC}">
                <c16:uniqueId val="{00000009-8369-41AA-94E1-1C27E0901F46}"/>
              </c:ext>
            </c:extLst>
          </c:dPt>
          <c:dPt>
            <c:idx val="5"/>
            <c:bubble3D val="0"/>
            <c:spPr>
              <a:solidFill>
                <a:srgbClr val="5F933C"/>
              </a:solidFill>
              <a:ln>
                <a:noFill/>
              </a:ln>
            </c:spPr>
            <c:extLst>
              <c:ext xmlns:c16="http://schemas.microsoft.com/office/drawing/2014/chart" uri="{C3380CC4-5D6E-409C-BE32-E72D297353CC}">
                <c16:uniqueId val="{0000000B-8369-41AA-94E1-1C27E0901F46}"/>
              </c:ext>
            </c:extLst>
          </c:dPt>
          <c:dPt>
            <c:idx val="6"/>
            <c:bubble3D val="0"/>
            <c:spPr>
              <a:solidFill>
                <a:srgbClr val="5780CA"/>
              </a:solidFill>
              <a:ln>
                <a:noFill/>
              </a:ln>
            </c:spPr>
            <c:extLst>
              <c:ext xmlns:c16="http://schemas.microsoft.com/office/drawing/2014/chart" uri="{C3380CC4-5D6E-409C-BE32-E72D297353CC}">
                <c16:uniqueId val="{0000000D-8369-41AA-94E1-1C27E0901F46}"/>
              </c:ext>
            </c:extLst>
          </c:dPt>
          <c:dPt>
            <c:idx val="7"/>
            <c:bubble3D val="0"/>
            <c:spPr>
              <a:solidFill>
                <a:srgbClr val="EF8A46"/>
              </a:solidFill>
              <a:ln>
                <a:noFill/>
              </a:ln>
            </c:spPr>
            <c:extLst>
              <c:ext xmlns:c16="http://schemas.microsoft.com/office/drawing/2014/chart" uri="{C3380CC4-5D6E-409C-BE32-E72D297353CC}">
                <c16:uniqueId val="{0000000F-8369-41AA-94E1-1C27E0901F46}"/>
              </c:ext>
            </c:extLst>
          </c:dPt>
          <c:dPt>
            <c:idx val="8"/>
            <c:bubble3D val="0"/>
            <c:spPr>
              <a:solidFill>
                <a:srgbClr val="AEAEAE"/>
              </a:solidFill>
              <a:ln>
                <a:noFill/>
              </a:ln>
            </c:spPr>
            <c:extLst>
              <c:ext xmlns:c16="http://schemas.microsoft.com/office/drawing/2014/chart" uri="{C3380CC4-5D6E-409C-BE32-E72D297353CC}">
                <c16:uniqueId val="{00000011-8369-41AA-94E1-1C27E0901F46}"/>
              </c:ext>
            </c:extLst>
          </c:dPt>
          <c:dPt>
            <c:idx val="9"/>
            <c:bubble3D val="0"/>
            <c:spPr>
              <a:solidFill>
                <a:srgbClr val="FFC61A"/>
              </a:solidFill>
              <a:ln>
                <a:noFill/>
              </a:ln>
            </c:spPr>
            <c:extLst>
              <c:ext xmlns:c16="http://schemas.microsoft.com/office/drawing/2014/chart" uri="{C3380CC4-5D6E-409C-BE32-E72D297353CC}">
                <c16:uniqueId val="{00000013-8369-41AA-94E1-1C27E0901F46}"/>
              </c:ext>
            </c:extLst>
          </c:dPt>
          <c:dPt>
            <c:idx val="10"/>
            <c:bubble3D val="0"/>
            <c:spPr>
              <a:solidFill>
                <a:srgbClr val="6BA5D9"/>
              </a:solidFill>
              <a:ln>
                <a:noFill/>
              </a:ln>
            </c:spPr>
            <c:extLst>
              <c:ext xmlns:c16="http://schemas.microsoft.com/office/drawing/2014/chart" uri="{C3380CC4-5D6E-409C-BE32-E72D297353CC}">
                <c16:uniqueId val="{00000015-8369-41AA-94E1-1C27E0901F46}"/>
              </c:ext>
            </c:extLst>
          </c:dPt>
          <c:dLbls>
            <c:spPr>
              <a:noFill/>
              <a:ln>
                <a:noFill/>
              </a:ln>
              <a:effectLst/>
            </c:spPr>
            <c:txPr>
              <a:bodyPr/>
              <a:lstStyle/>
              <a:p>
                <a:pPr>
                  <a:defRPr sz="1000" b="0" strike="noStrike" spc="-1">
                    <a:solidFill>
                      <a:srgbClr val="000000"/>
                    </a:solidFill>
                    <a:latin typeface="Calibri"/>
                    <a:ea typeface="Calibri"/>
                  </a:defRPr>
                </a:pPr>
                <a:endParaRPr lang="en-NG"/>
              </a:p>
            </c:txPr>
            <c:dLblPos val="bestFit"/>
            <c:showLegendKey val="1"/>
            <c:showVal val="1"/>
            <c:showCatName val="0"/>
            <c:showSerName val="0"/>
            <c:showPercent val="0"/>
            <c:showBubbleSize val="1"/>
            <c:separator>, </c:separator>
            <c:showLeaderLines val="1"/>
            <c:extLst>
              <c:ext xmlns:c15="http://schemas.microsoft.com/office/drawing/2012/chart" uri="{CE6537A1-D6FC-4f65-9D91-7224C49458BB}"/>
            </c:extLst>
          </c:dLbls>
          <c:cat>
            <c:strRef>
              <c:f>'Revenue and Financing Page '!$C$26:$C$33</c:f>
              <c:strCache>
                <c:ptCount val="8"/>
                <c:pt idx="0">
                  <c:v>Internally Generated Revenue</c:v>
                </c:pt>
                <c:pt idx="1">
                  <c:v>Statutory Allocation</c:v>
                </c:pt>
                <c:pt idx="2">
                  <c:v>Value Added Tax</c:v>
                </c:pt>
                <c:pt idx="3">
                  <c:v>Other Revenue </c:v>
                </c:pt>
                <c:pt idx="4">
                  <c:v>Domestic Grants</c:v>
                </c:pt>
                <c:pt idx="5">
                  <c:v>Foreign Grants</c:v>
                </c:pt>
                <c:pt idx="6">
                  <c:v>Opening Balance</c:v>
                </c:pt>
                <c:pt idx="7">
                  <c:v>Domestic Loans</c:v>
                </c:pt>
              </c:strCache>
            </c:strRef>
          </c:cat>
          <c:val>
            <c:numRef>
              <c:f>'Revenue and Financing Page '!$E$26:$E$33</c:f>
              <c:numCache>
                <c:formatCode>#,#00%</c:formatCode>
                <c:ptCount val="8"/>
                <c:pt idx="0">
                  <c:v>5.4598393422396453E-2</c:v>
                </c:pt>
                <c:pt idx="1">
                  <c:v>0.49404255842103734</c:v>
                </c:pt>
                <c:pt idx="2">
                  <c:v>5.3486788777667819E-2</c:v>
                </c:pt>
                <c:pt idx="3">
                  <c:v>0.23953543711763753</c:v>
                </c:pt>
                <c:pt idx="4">
                  <c:v>2.8391164579646157E-2</c:v>
                </c:pt>
                <c:pt idx="5">
                  <c:v>2.5552048121681541E-2</c:v>
                </c:pt>
                <c:pt idx="6">
                  <c:v>7.4364493177615107E-2</c:v>
                </c:pt>
                <c:pt idx="7">
                  <c:v>3.002911638231805E-2</c:v>
                </c:pt>
              </c:numCache>
            </c:numRef>
          </c:val>
          <c:extLst>
            <c:ext xmlns:c16="http://schemas.microsoft.com/office/drawing/2014/chart" uri="{C3380CC4-5D6E-409C-BE32-E72D297353CC}">
              <c16:uniqueId val="{00000016-8369-41AA-94E1-1C27E0901F46}"/>
            </c:ext>
          </c:extLst>
        </c:ser>
        <c:dLbls>
          <c:showLegendKey val="0"/>
          <c:showVal val="0"/>
          <c:showCatName val="0"/>
          <c:showSerName val="0"/>
          <c:showPercent val="0"/>
          <c:showBubbleSize val="0"/>
          <c:showLeaderLines val="1"/>
        </c:dLbls>
        <c:firstSliceAng val="0"/>
      </c:pieChart>
      <c:spPr>
        <a:solidFill>
          <a:srgbClr val="FFFFFF"/>
        </a:solidFill>
        <a:ln>
          <a:noFill/>
        </a:ln>
      </c:spPr>
    </c:plotArea>
    <c:legend>
      <c:legendPos val="r"/>
      <c:overlay val="0"/>
      <c:spPr>
        <a:noFill/>
        <a:ln>
          <a:noFill/>
        </a:ln>
      </c:spPr>
      <c:txPr>
        <a:bodyPr/>
        <a:lstStyle/>
        <a:p>
          <a:pPr>
            <a:defRPr sz="1000" b="0" strike="noStrike" spc="-1">
              <a:solidFill>
                <a:srgbClr val="000000"/>
              </a:solidFill>
              <a:latin typeface="Calibri"/>
              <a:ea typeface="Calibri"/>
            </a:defRPr>
          </a:pPr>
          <a:endParaRPr lang="en-NG"/>
        </a:p>
      </c:txPr>
    </c:legend>
    <c:plotVisOnly val="1"/>
    <c:dispBlanksAs val="zero"/>
    <c:showDLblsOverMax val="1"/>
  </c:chart>
  <c:spPr>
    <a:solidFill>
      <a:srgbClr val="FFFFFF"/>
    </a:solidFill>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sz="1800" b="0" strike="noStrike" spc="-1">
                <a:solidFill>
                  <a:srgbClr val="000000"/>
                </a:solidFill>
                <a:latin typeface="Calibri"/>
                <a:ea typeface="Calibri"/>
              </a:defRPr>
            </a:pPr>
            <a:r>
              <a:rPr lang="en-US" sz="1800" b="0" strike="noStrike" spc="-1">
                <a:solidFill>
                  <a:srgbClr val="000000"/>
                </a:solidFill>
                <a:latin typeface="Calibri"/>
                <a:ea typeface="Calibri"/>
              </a:rPr>
              <a:t>2020 Revised Covid- 19 Citizens Budget Revenue and Financing</a:t>
            </a:r>
          </a:p>
        </c:rich>
      </c:tx>
      <c:layout>
        <c:manualLayout>
          <c:xMode val="edge"/>
          <c:yMode val="edge"/>
          <c:x val="0.14856282672669105"/>
          <c:y val="3.5940429445682552E-3"/>
        </c:manualLayout>
      </c:layout>
      <c:overlay val="0"/>
      <c:spPr>
        <a:noFill/>
        <a:ln>
          <a:noFill/>
        </a:ln>
      </c:spPr>
    </c:title>
    <c:autoTitleDeleted val="0"/>
    <c:plotArea>
      <c:layout/>
      <c:barChart>
        <c:barDir val="col"/>
        <c:grouping val="stacked"/>
        <c:varyColors val="1"/>
        <c:ser>
          <c:idx val="0"/>
          <c:order val="0"/>
          <c:spPr>
            <a:solidFill>
              <a:schemeClr val="accent3">
                <a:lumMod val="50000"/>
              </a:schemeClr>
            </a:solidFill>
            <a:ln>
              <a:noFill/>
            </a:ln>
          </c:spPr>
          <c:invertIfNegative val="0"/>
          <c:dPt>
            <c:idx val="0"/>
            <c:invertIfNegative val="1"/>
            <c:bubble3D val="0"/>
            <c:extLst>
              <c:ext xmlns:c16="http://schemas.microsoft.com/office/drawing/2014/chart" uri="{C3380CC4-5D6E-409C-BE32-E72D297353CC}">
                <c16:uniqueId val="{00000000-3971-4F2B-B41F-CAFE4971D7C1}"/>
              </c:ext>
            </c:extLst>
          </c:dPt>
          <c:dPt>
            <c:idx val="1"/>
            <c:invertIfNegative val="1"/>
            <c:bubble3D val="0"/>
            <c:extLst>
              <c:ext xmlns:c16="http://schemas.microsoft.com/office/drawing/2014/chart" uri="{C3380CC4-5D6E-409C-BE32-E72D297353CC}">
                <c16:uniqueId val="{00000001-3971-4F2B-B41F-CAFE4971D7C1}"/>
              </c:ext>
            </c:extLst>
          </c:dPt>
          <c:dPt>
            <c:idx val="2"/>
            <c:invertIfNegative val="1"/>
            <c:bubble3D val="0"/>
            <c:extLst>
              <c:ext xmlns:c16="http://schemas.microsoft.com/office/drawing/2014/chart" uri="{C3380CC4-5D6E-409C-BE32-E72D297353CC}">
                <c16:uniqueId val="{00000002-3971-4F2B-B41F-CAFE4971D7C1}"/>
              </c:ext>
            </c:extLst>
          </c:dPt>
          <c:dPt>
            <c:idx val="3"/>
            <c:invertIfNegative val="1"/>
            <c:bubble3D val="0"/>
            <c:extLst>
              <c:ext xmlns:c16="http://schemas.microsoft.com/office/drawing/2014/chart" uri="{C3380CC4-5D6E-409C-BE32-E72D297353CC}">
                <c16:uniqueId val="{00000003-3971-4F2B-B41F-CAFE4971D7C1}"/>
              </c:ext>
            </c:extLst>
          </c:dPt>
          <c:dPt>
            <c:idx val="4"/>
            <c:invertIfNegative val="1"/>
            <c:bubble3D val="0"/>
            <c:extLst>
              <c:ext xmlns:c16="http://schemas.microsoft.com/office/drawing/2014/chart" uri="{C3380CC4-5D6E-409C-BE32-E72D297353CC}">
                <c16:uniqueId val="{00000004-3971-4F2B-B41F-CAFE4971D7C1}"/>
              </c:ext>
            </c:extLst>
          </c:dPt>
          <c:dPt>
            <c:idx val="5"/>
            <c:invertIfNegative val="1"/>
            <c:bubble3D val="0"/>
            <c:extLst>
              <c:ext xmlns:c16="http://schemas.microsoft.com/office/drawing/2014/chart" uri="{C3380CC4-5D6E-409C-BE32-E72D297353CC}">
                <c16:uniqueId val="{00000005-3971-4F2B-B41F-CAFE4971D7C1}"/>
              </c:ext>
            </c:extLst>
          </c:dPt>
          <c:dPt>
            <c:idx val="6"/>
            <c:invertIfNegative val="1"/>
            <c:bubble3D val="0"/>
            <c:extLst>
              <c:ext xmlns:c16="http://schemas.microsoft.com/office/drawing/2014/chart" uri="{C3380CC4-5D6E-409C-BE32-E72D297353CC}">
                <c16:uniqueId val="{00000006-3971-4F2B-B41F-CAFE4971D7C1}"/>
              </c:ext>
            </c:extLst>
          </c:dPt>
          <c:dPt>
            <c:idx val="7"/>
            <c:invertIfNegative val="1"/>
            <c:bubble3D val="0"/>
            <c:extLst>
              <c:ext xmlns:c16="http://schemas.microsoft.com/office/drawing/2014/chart" uri="{C3380CC4-5D6E-409C-BE32-E72D297353CC}">
                <c16:uniqueId val="{00000007-3971-4F2B-B41F-CAFE4971D7C1}"/>
              </c:ext>
            </c:extLst>
          </c:dPt>
          <c:dPt>
            <c:idx val="8"/>
            <c:invertIfNegative val="1"/>
            <c:bubble3D val="0"/>
            <c:extLst>
              <c:ext xmlns:c16="http://schemas.microsoft.com/office/drawing/2014/chart" uri="{C3380CC4-5D6E-409C-BE32-E72D297353CC}">
                <c16:uniqueId val="{00000008-3971-4F2B-B41F-CAFE4971D7C1}"/>
              </c:ext>
            </c:extLst>
          </c:dPt>
          <c:dPt>
            <c:idx val="9"/>
            <c:invertIfNegative val="1"/>
            <c:bubble3D val="0"/>
            <c:extLst>
              <c:ext xmlns:c16="http://schemas.microsoft.com/office/drawing/2014/chart" uri="{C3380CC4-5D6E-409C-BE32-E72D297353CC}">
                <c16:uniqueId val="{00000009-3971-4F2B-B41F-CAFE4971D7C1}"/>
              </c:ext>
            </c:extLst>
          </c:dPt>
          <c:dPt>
            <c:idx val="10"/>
            <c:invertIfNegative val="1"/>
            <c:bubble3D val="0"/>
            <c:extLst>
              <c:ext xmlns:c16="http://schemas.microsoft.com/office/drawing/2014/chart" uri="{C3380CC4-5D6E-409C-BE32-E72D297353CC}">
                <c16:uniqueId val="{0000000A-3971-4F2B-B41F-CAFE4971D7C1}"/>
              </c:ext>
            </c:extLst>
          </c:dPt>
          <c:dLbls>
            <c:spPr>
              <a:noFill/>
              <a:ln>
                <a:noFill/>
              </a:ln>
              <a:effectLst/>
            </c:spPr>
            <c:txPr>
              <a:bodyPr/>
              <a:lstStyle/>
              <a:p>
                <a:pPr>
                  <a:defRPr sz="1000" b="0" strike="noStrike" spc="-1">
                    <a:solidFill>
                      <a:srgbClr val="000000"/>
                    </a:solidFill>
                    <a:latin typeface="Calibri"/>
                    <a:ea typeface="Calibri"/>
                  </a:defRPr>
                </a:pPr>
                <a:endParaRPr lang="en-NG"/>
              </a:p>
            </c:txPr>
            <c:dLblPos val="ct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0"/>
              </c:ext>
            </c:extLst>
          </c:dLbls>
          <c:cat>
            <c:strRef>
              <c:f>'Revenue and Financing Page '!$C$26:$C$33</c:f>
              <c:strCache>
                <c:ptCount val="8"/>
                <c:pt idx="0">
                  <c:v>Internally Generated Revenue</c:v>
                </c:pt>
                <c:pt idx="1">
                  <c:v>Statutory Allocation</c:v>
                </c:pt>
                <c:pt idx="2">
                  <c:v>Value Added Tax</c:v>
                </c:pt>
                <c:pt idx="3">
                  <c:v>Other Revenue </c:v>
                </c:pt>
                <c:pt idx="4">
                  <c:v>Domestic Grants</c:v>
                </c:pt>
                <c:pt idx="5">
                  <c:v>Foreign Grants</c:v>
                </c:pt>
                <c:pt idx="6">
                  <c:v>Opening Balance</c:v>
                </c:pt>
                <c:pt idx="7">
                  <c:v>Domestic Loans</c:v>
                </c:pt>
              </c:strCache>
            </c:strRef>
          </c:cat>
          <c:val>
            <c:numRef>
              <c:f>'Revenue and Financing Page '!$D$26:$D$33</c:f>
              <c:numCache>
                <c:formatCode>_(* #.##0_);_(* \(#.##0\);_(* \-??_);_(@_)</c:formatCode>
                <c:ptCount val="8"/>
                <c:pt idx="0">
                  <c:v>10000000000</c:v>
                </c:pt>
                <c:pt idx="1">
                  <c:v>90486647583</c:v>
                </c:pt>
                <c:pt idx="2">
                  <c:v>9796403415</c:v>
                </c:pt>
                <c:pt idx="3" formatCode="#,##0">
                  <c:v>43872250098</c:v>
                </c:pt>
                <c:pt idx="4">
                  <c:v>5200000000</c:v>
                </c:pt>
                <c:pt idx="5">
                  <c:v>4680000000</c:v>
                </c:pt>
                <c:pt idx="6">
                  <c:v>13620271315</c:v>
                </c:pt>
                <c:pt idx="7">
                  <c:v>5500000000</c:v>
                </c:pt>
              </c:numCache>
            </c:numRef>
          </c:val>
          <c:extLst>
            <c:ext xmlns:c16="http://schemas.microsoft.com/office/drawing/2014/chart" uri="{C3380CC4-5D6E-409C-BE32-E72D297353CC}">
              <c16:uniqueId val="{0000000B-3971-4F2B-B41F-CAFE4971D7C1}"/>
            </c:ext>
          </c:extLst>
        </c:ser>
        <c:dLbls>
          <c:showLegendKey val="0"/>
          <c:showVal val="0"/>
          <c:showCatName val="0"/>
          <c:showSerName val="0"/>
          <c:showPercent val="0"/>
          <c:showBubbleSize val="0"/>
        </c:dLbls>
        <c:gapWidth val="30"/>
        <c:overlap val="100"/>
        <c:axId val="727210608"/>
        <c:axId val="467612208"/>
      </c:barChart>
      <c:catAx>
        <c:axId val="727210608"/>
        <c:scaling>
          <c:orientation val="minMax"/>
        </c:scaling>
        <c:delete val="0"/>
        <c:axPos val="b"/>
        <c:numFmt formatCode="General" sourceLinked="1"/>
        <c:majorTickMark val="cross"/>
        <c:minorTickMark val="cross"/>
        <c:tickLblPos val="nextTo"/>
        <c:spPr>
          <a:ln w="6480">
            <a:solidFill>
              <a:srgbClr val="8B8B8B"/>
            </a:solidFill>
            <a:round/>
          </a:ln>
        </c:spPr>
        <c:txPr>
          <a:bodyPr/>
          <a:lstStyle/>
          <a:p>
            <a:pPr>
              <a:defRPr sz="1000" b="0" strike="noStrike" spc="-1">
                <a:solidFill>
                  <a:srgbClr val="000000"/>
                </a:solidFill>
                <a:latin typeface="Calibri"/>
                <a:ea typeface="Calibri"/>
              </a:defRPr>
            </a:pPr>
            <a:endParaRPr lang="en-NG"/>
          </a:p>
        </c:txPr>
        <c:crossAx val="467612208"/>
        <c:crosses val="autoZero"/>
        <c:auto val="1"/>
        <c:lblAlgn val="ctr"/>
        <c:lblOffset val="100"/>
        <c:noMultiLvlLbl val="1"/>
      </c:catAx>
      <c:valAx>
        <c:axId val="467612208"/>
        <c:scaling>
          <c:orientation val="minMax"/>
        </c:scaling>
        <c:delete val="0"/>
        <c:axPos val="l"/>
        <c:majorGridlines>
          <c:spPr>
            <a:ln w="6480">
              <a:solidFill>
                <a:srgbClr val="B7B7B7"/>
              </a:solidFill>
              <a:round/>
            </a:ln>
          </c:spPr>
        </c:majorGridlines>
        <c:title>
          <c:tx>
            <c:rich>
              <a:bodyPr rot="-5400000"/>
              <a:lstStyle/>
              <a:p>
                <a:pPr>
                  <a:defRPr sz="1000" b="0" strike="noStrike" spc="-1">
                    <a:solidFill>
                      <a:srgbClr val="000000"/>
                    </a:solidFill>
                    <a:latin typeface="Calibri"/>
                    <a:ea typeface="Calibri"/>
                  </a:defRPr>
                </a:pPr>
                <a:r>
                  <a:rPr lang="en-US" sz="1000" b="0" strike="noStrike" spc="-1">
                    <a:solidFill>
                      <a:srgbClr val="000000"/>
                    </a:solidFill>
                    <a:latin typeface="Calibri"/>
                    <a:ea typeface="Calibri"/>
                  </a:rPr>
                  <a:t>Naira</a:t>
                </a:r>
              </a:p>
            </c:rich>
          </c:tx>
          <c:overlay val="0"/>
          <c:spPr>
            <a:noFill/>
            <a:ln>
              <a:noFill/>
            </a:ln>
          </c:spPr>
        </c:title>
        <c:numFmt formatCode="General" sourceLinked="0"/>
        <c:majorTickMark val="cross"/>
        <c:minorTickMark val="cross"/>
        <c:tickLblPos val="nextTo"/>
        <c:spPr>
          <a:ln w="47520">
            <a:noFill/>
          </a:ln>
        </c:spPr>
        <c:txPr>
          <a:bodyPr/>
          <a:lstStyle/>
          <a:p>
            <a:pPr>
              <a:defRPr sz="1000" b="0" strike="noStrike" spc="-1">
                <a:solidFill>
                  <a:srgbClr val="000000"/>
                </a:solidFill>
                <a:latin typeface="Calibri"/>
                <a:ea typeface="Calibri"/>
              </a:defRPr>
            </a:pPr>
            <a:endParaRPr lang="en-NG"/>
          </a:p>
        </c:txPr>
        <c:crossAx val="727210608"/>
        <c:crosses val="autoZero"/>
        <c:crossBetween val="between"/>
      </c:valAx>
      <c:spPr>
        <a:solidFill>
          <a:srgbClr val="FFFFFF"/>
        </a:solidFill>
        <a:ln>
          <a:noFill/>
        </a:ln>
      </c:spPr>
    </c:plotArea>
    <c:plotVisOnly val="1"/>
    <c:dispBlanksAs val="zero"/>
    <c:showDLblsOverMax val="1"/>
  </c:chart>
  <c:spPr>
    <a:solidFill>
      <a:srgbClr val="FFFFFF"/>
    </a:solidFill>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b="0">
                <a:solidFill>
                  <a:schemeClr val="tx1">
                    <a:lumMod val="50000"/>
                    <a:lumOff val="50000"/>
                  </a:schemeClr>
                </a:solidFill>
              </a:rPr>
              <a:t>Expenditure</a:t>
            </a:r>
            <a:r>
              <a:rPr lang="en-US" b="0" baseline="0">
                <a:solidFill>
                  <a:schemeClr val="tx1">
                    <a:lumMod val="50000"/>
                    <a:lumOff val="50000"/>
                  </a:schemeClr>
                </a:solidFill>
              </a:rPr>
              <a:t> type as % of total 2020 Revised Covid-19 Responsive Citizens budget</a:t>
            </a:r>
            <a:endParaRPr lang="en-US" b="0">
              <a:solidFill>
                <a:schemeClr val="tx1">
                  <a:lumMod val="50000"/>
                  <a:lumOff val="50000"/>
                </a:schemeClr>
              </a:solidFill>
            </a:endParaRPr>
          </a:p>
        </c:rich>
      </c:tx>
      <c:overlay val="0"/>
    </c:title>
    <c:autoTitleDeleted val="0"/>
    <c:plotArea>
      <c:layout/>
      <c:pieChart>
        <c:varyColors val="1"/>
        <c:ser>
          <c:idx val="0"/>
          <c:order val="0"/>
          <c:tx>
            <c:strRef>
              <c:f>'Expenditure  Page '!$C$28</c:f>
              <c:strCache>
                <c:ptCount val="1"/>
                <c:pt idx="0">
                  <c:v>% of Total Budgeted Expenditure</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'Expenditure  Page '!$A$29:$A$33</c:f>
              <c:strCache>
                <c:ptCount val="5"/>
                <c:pt idx="0">
                  <c:v>Personnel Cost</c:v>
                </c:pt>
                <c:pt idx="1">
                  <c:v>Overhead Cost</c:v>
                </c:pt>
                <c:pt idx="2">
                  <c:v>Consolidated Revenue Charges (Pension&amp; Gratuity)</c:v>
                </c:pt>
                <c:pt idx="3">
                  <c:v>Debt services</c:v>
                </c:pt>
                <c:pt idx="4">
                  <c:v>Capital Cost</c:v>
                </c:pt>
              </c:strCache>
            </c:strRef>
          </c:cat>
          <c:val>
            <c:numRef>
              <c:f>'Expenditure  Page '!$C$29:$C$33</c:f>
              <c:numCache>
                <c:formatCode>#,#00%</c:formatCode>
                <c:ptCount val="5"/>
                <c:pt idx="0">
                  <c:v>0.28197931447647412</c:v>
                </c:pt>
                <c:pt idx="1">
                  <c:v>0.16418461544003762</c:v>
                </c:pt>
                <c:pt idx="2">
                  <c:v>0.1910943769783876</c:v>
                </c:pt>
                <c:pt idx="3">
                  <c:v>0.17282529501733535</c:v>
                </c:pt>
                <c:pt idx="4">
                  <c:v>0.18991639808776531</c:v>
                </c:pt>
              </c:numCache>
            </c:numRef>
          </c:val>
          <c:extLst>
            <c:ext xmlns:c16="http://schemas.microsoft.com/office/drawing/2014/chart" uri="{C3380CC4-5D6E-409C-BE32-E72D297353CC}">
              <c16:uniqueId val="{00000000-991A-4B0D-A925-9FD4CFA57768}"/>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64754155730533702"/>
          <c:y val="0.16218285214348199"/>
          <c:w val="0.31912510936132998"/>
          <c:h val="0.80977799650043802"/>
        </c:manualLayout>
      </c:layout>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sz="1800" b="0" strike="noStrike" spc="-1">
                <a:solidFill>
                  <a:srgbClr val="757575"/>
                </a:solidFill>
                <a:latin typeface="Calibri"/>
                <a:ea typeface="Calibri"/>
              </a:defRPr>
            </a:pPr>
            <a:r>
              <a:rPr lang="en-US" sz="1800" b="0" strike="noStrike" spc="-1">
                <a:solidFill>
                  <a:srgbClr val="757575"/>
                </a:solidFill>
                <a:latin typeface="Calibri"/>
                <a:ea typeface="Calibri"/>
              </a:rPr>
              <a:t>2020 Revised Covid-19 Responsive Citizens Budgeted Expenditure </a:t>
            </a:r>
          </a:p>
        </c:rich>
      </c:tx>
      <c:overlay val="0"/>
      <c:spPr>
        <a:noFill/>
        <a:ln>
          <a:noFill/>
        </a:ln>
      </c:spPr>
    </c:title>
    <c:autoTitleDeleted val="0"/>
    <c:plotArea>
      <c:layout/>
      <c:barChart>
        <c:barDir val="col"/>
        <c:grouping val="clustered"/>
        <c:varyColors val="1"/>
        <c:ser>
          <c:idx val="0"/>
          <c:order val="0"/>
          <c:tx>
            <c:strRef>
              <c:f>'Expenditure  Page '!$B$28</c:f>
              <c:strCache>
                <c:ptCount val="1"/>
                <c:pt idx="0">
                  <c:v>Budget Target</c:v>
                </c:pt>
              </c:strCache>
            </c:strRef>
          </c:tx>
          <c:spPr>
            <a:solidFill>
              <a:schemeClr val="accent2"/>
            </a:solidFill>
            <a:ln>
              <a:noFill/>
            </a:ln>
          </c:spPr>
          <c:invertIfNegative val="0"/>
          <c:dPt>
            <c:idx val="0"/>
            <c:invertIfNegative val="1"/>
            <c:bubble3D val="0"/>
            <c:extLst>
              <c:ext xmlns:c16="http://schemas.microsoft.com/office/drawing/2014/chart" uri="{C3380CC4-5D6E-409C-BE32-E72D297353CC}">
                <c16:uniqueId val="{00000000-9B23-43E8-9785-B7E6DE956761}"/>
              </c:ext>
            </c:extLst>
          </c:dPt>
          <c:dPt>
            <c:idx val="1"/>
            <c:invertIfNegative val="1"/>
            <c:bubble3D val="0"/>
            <c:extLst>
              <c:ext xmlns:c16="http://schemas.microsoft.com/office/drawing/2014/chart" uri="{C3380CC4-5D6E-409C-BE32-E72D297353CC}">
                <c16:uniqueId val="{00000001-9B23-43E8-9785-B7E6DE956761}"/>
              </c:ext>
            </c:extLst>
          </c:dPt>
          <c:dPt>
            <c:idx val="2"/>
            <c:invertIfNegative val="1"/>
            <c:bubble3D val="0"/>
            <c:extLst>
              <c:ext xmlns:c16="http://schemas.microsoft.com/office/drawing/2014/chart" uri="{C3380CC4-5D6E-409C-BE32-E72D297353CC}">
                <c16:uniqueId val="{00000002-9B23-43E8-9785-B7E6DE956761}"/>
              </c:ext>
            </c:extLst>
          </c:dPt>
          <c:dPt>
            <c:idx val="3"/>
            <c:invertIfNegative val="1"/>
            <c:bubble3D val="0"/>
            <c:extLst>
              <c:ext xmlns:c16="http://schemas.microsoft.com/office/drawing/2014/chart" uri="{C3380CC4-5D6E-409C-BE32-E72D297353CC}">
                <c16:uniqueId val="{00000003-9B23-43E8-9785-B7E6DE956761}"/>
              </c:ext>
            </c:extLst>
          </c:dPt>
          <c:dPt>
            <c:idx val="4"/>
            <c:invertIfNegative val="1"/>
            <c:bubble3D val="0"/>
            <c:extLst>
              <c:ext xmlns:c16="http://schemas.microsoft.com/office/drawing/2014/chart" uri="{C3380CC4-5D6E-409C-BE32-E72D297353CC}">
                <c16:uniqueId val="{00000004-9B23-43E8-9785-B7E6DE956761}"/>
              </c:ext>
            </c:extLst>
          </c:dPt>
          <c:dPt>
            <c:idx val="5"/>
            <c:invertIfNegative val="1"/>
            <c:bubble3D val="0"/>
            <c:extLst>
              <c:ext xmlns:c16="http://schemas.microsoft.com/office/drawing/2014/chart" uri="{C3380CC4-5D6E-409C-BE32-E72D297353CC}">
                <c16:uniqueId val="{00000005-9B23-43E8-9785-B7E6DE956761}"/>
              </c:ext>
            </c:extLst>
          </c:dPt>
          <c:dPt>
            <c:idx val="6"/>
            <c:invertIfNegative val="1"/>
            <c:bubble3D val="0"/>
            <c:extLst>
              <c:ext xmlns:c16="http://schemas.microsoft.com/office/drawing/2014/chart" uri="{C3380CC4-5D6E-409C-BE32-E72D297353CC}">
                <c16:uniqueId val="{00000006-9B23-43E8-9785-B7E6DE956761}"/>
              </c:ext>
            </c:extLst>
          </c:dPt>
          <c:dLbls>
            <c:spPr>
              <a:noFill/>
              <a:ln>
                <a:noFill/>
              </a:ln>
              <a:effectLst/>
            </c:spPr>
            <c:txPr>
              <a:bodyPr/>
              <a:lstStyle/>
              <a:p>
                <a:pPr>
                  <a:defRPr sz="1000" b="0" strike="noStrike" spc="-1">
                    <a:solidFill>
                      <a:srgbClr val="000000"/>
                    </a:solidFill>
                    <a:latin typeface="Calibri"/>
                    <a:ea typeface="Calibri"/>
                  </a:defRPr>
                </a:pPr>
                <a:endParaRPr lang="en-NG"/>
              </a:p>
            </c:txPr>
            <c:dLblPos val="outEnd"/>
            <c:showLegendKey val="0"/>
            <c:showVal val="0"/>
            <c:showCatName val="0"/>
            <c:showSerName val="0"/>
            <c:showPercent val="0"/>
            <c:showBubbleSize val="1"/>
            <c:separator>; </c:separator>
            <c:showLeaderLines val="0"/>
            <c:extLst>
              <c:ext xmlns:c15="http://schemas.microsoft.com/office/drawing/2012/chart" uri="{CE6537A1-D6FC-4f65-9D91-7224C49458BB}">
                <c15:showLeaderLines val="0"/>
              </c:ext>
            </c:extLst>
          </c:dLbls>
          <c:cat>
            <c:strRef>
              <c:f>'Expenditure  Page '!$A$29:$A$33</c:f>
              <c:strCache>
                <c:ptCount val="5"/>
                <c:pt idx="0">
                  <c:v>Personnel Cost</c:v>
                </c:pt>
                <c:pt idx="1">
                  <c:v>Overhead Cost</c:v>
                </c:pt>
                <c:pt idx="2">
                  <c:v>Consolidated Revenue Charges (Pension&amp; Gratuity)</c:v>
                </c:pt>
                <c:pt idx="3">
                  <c:v>Debt services</c:v>
                </c:pt>
                <c:pt idx="4">
                  <c:v>Capital Cost</c:v>
                </c:pt>
              </c:strCache>
            </c:strRef>
          </c:cat>
          <c:val>
            <c:numRef>
              <c:f>'Expenditure  Page '!$B$29:$B$33</c:f>
              <c:numCache>
                <c:formatCode>#,##0</c:formatCode>
                <c:ptCount val="5"/>
                <c:pt idx="0">
                  <c:v>51646082751</c:v>
                </c:pt>
                <c:pt idx="1">
                  <c:v>30071327222</c:v>
                </c:pt>
                <c:pt idx="2">
                  <c:v>35000000000</c:v>
                </c:pt>
                <c:pt idx="3">
                  <c:v>31653915836</c:v>
                </c:pt>
                <c:pt idx="4">
                  <c:v>34784246602</c:v>
                </c:pt>
              </c:numCache>
            </c:numRef>
          </c:val>
          <c:extLst>
            <c:ext xmlns:c16="http://schemas.microsoft.com/office/drawing/2014/chart" uri="{C3380CC4-5D6E-409C-BE32-E72D297353CC}">
              <c16:uniqueId val="{00000007-9B23-43E8-9785-B7E6DE956761}"/>
            </c:ext>
          </c:extLst>
        </c:ser>
        <c:dLbls>
          <c:showLegendKey val="0"/>
          <c:showVal val="0"/>
          <c:showCatName val="0"/>
          <c:showSerName val="0"/>
          <c:showPercent val="0"/>
          <c:showBubbleSize val="0"/>
        </c:dLbls>
        <c:gapWidth val="47"/>
        <c:axId val="467614952"/>
        <c:axId val="467611816"/>
      </c:barChart>
      <c:catAx>
        <c:axId val="467614952"/>
        <c:scaling>
          <c:orientation val="minMax"/>
        </c:scaling>
        <c:delete val="0"/>
        <c:axPos val="b"/>
        <c:title>
          <c:tx>
            <c:rich>
              <a:bodyPr rot="0"/>
              <a:lstStyle/>
              <a:p>
                <a:pPr>
                  <a:defRPr sz="1000" b="0" strike="noStrike" spc="-1">
                    <a:solidFill>
                      <a:srgbClr val="000000"/>
                    </a:solidFill>
                    <a:latin typeface="Calibri"/>
                    <a:ea typeface="Calibri"/>
                  </a:defRPr>
                </a:pPr>
                <a:r>
                  <a:rPr lang="en-US" sz="1000" b="0" strike="noStrike" spc="-1">
                    <a:solidFill>
                      <a:srgbClr val="000000"/>
                    </a:solidFill>
                    <a:latin typeface="Calibri"/>
                    <a:ea typeface="Calibri"/>
                  </a:rPr>
                  <a:t>Expenditure</a:t>
                </a:r>
              </a:p>
            </c:rich>
          </c:tx>
          <c:overlay val="0"/>
          <c:spPr>
            <a:noFill/>
            <a:ln>
              <a:noFill/>
            </a:ln>
          </c:spPr>
        </c:title>
        <c:numFmt formatCode="General" sourceLinked="1"/>
        <c:majorTickMark val="cross"/>
        <c:minorTickMark val="cross"/>
        <c:tickLblPos val="nextTo"/>
        <c:spPr>
          <a:ln w="6480">
            <a:solidFill>
              <a:srgbClr val="8B8B8B"/>
            </a:solidFill>
            <a:round/>
          </a:ln>
        </c:spPr>
        <c:txPr>
          <a:bodyPr/>
          <a:lstStyle/>
          <a:p>
            <a:pPr>
              <a:defRPr sz="1000" b="0" strike="noStrike" spc="-1">
                <a:solidFill>
                  <a:srgbClr val="000000"/>
                </a:solidFill>
                <a:latin typeface="Calibri"/>
                <a:ea typeface="Calibri"/>
              </a:defRPr>
            </a:pPr>
            <a:endParaRPr lang="en-NG"/>
          </a:p>
        </c:txPr>
        <c:crossAx val="467611816"/>
        <c:crosses val="autoZero"/>
        <c:auto val="1"/>
        <c:lblAlgn val="ctr"/>
        <c:lblOffset val="100"/>
        <c:noMultiLvlLbl val="1"/>
      </c:catAx>
      <c:valAx>
        <c:axId val="467611816"/>
        <c:scaling>
          <c:orientation val="minMax"/>
        </c:scaling>
        <c:delete val="0"/>
        <c:axPos val="l"/>
        <c:majorGridlines>
          <c:spPr>
            <a:ln w="6480">
              <a:solidFill>
                <a:srgbClr val="B7B7B7"/>
              </a:solidFill>
              <a:round/>
            </a:ln>
          </c:spPr>
        </c:majorGridlines>
        <c:title>
          <c:tx>
            <c:rich>
              <a:bodyPr rot="-5400000"/>
              <a:lstStyle/>
              <a:p>
                <a:pPr>
                  <a:defRPr sz="1000" b="0" strike="noStrike" spc="-1">
                    <a:solidFill>
                      <a:srgbClr val="000000"/>
                    </a:solidFill>
                    <a:latin typeface="Calibri"/>
                    <a:ea typeface="Calibri"/>
                  </a:defRPr>
                </a:pPr>
                <a:r>
                  <a:rPr lang="en-US" sz="1000" b="0" strike="noStrike" spc="-1">
                    <a:solidFill>
                      <a:srgbClr val="000000"/>
                    </a:solidFill>
                    <a:latin typeface="Calibri"/>
                    <a:ea typeface="Calibri"/>
                  </a:rPr>
                  <a:t>Amount</a:t>
                </a:r>
              </a:p>
            </c:rich>
          </c:tx>
          <c:overlay val="0"/>
          <c:spPr>
            <a:noFill/>
            <a:ln>
              <a:noFill/>
            </a:ln>
          </c:spPr>
        </c:title>
        <c:numFmt formatCode="#,##0" sourceLinked="0"/>
        <c:majorTickMark val="cross"/>
        <c:minorTickMark val="cross"/>
        <c:tickLblPos val="nextTo"/>
        <c:spPr>
          <a:ln w="47520">
            <a:noFill/>
          </a:ln>
        </c:spPr>
        <c:txPr>
          <a:bodyPr/>
          <a:lstStyle/>
          <a:p>
            <a:pPr>
              <a:defRPr sz="1000" b="0" strike="noStrike" spc="-1">
                <a:solidFill>
                  <a:srgbClr val="000000"/>
                </a:solidFill>
                <a:latin typeface="Calibri"/>
                <a:ea typeface="Calibri"/>
              </a:defRPr>
            </a:pPr>
            <a:endParaRPr lang="en-NG"/>
          </a:p>
        </c:txPr>
        <c:crossAx val="467614952"/>
        <c:crosses val="autoZero"/>
        <c:crossBetween val="between"/>
        <c:dispUnits>
          <c:builtInUnit val="billions"/>
          <c:dispUnitsLbl/>
        </c:dispUnits>
      </c:valAx>
      <c:spPr>
        <a:solidFill>
          <a:srgbClr val="FFFFFF"/>
        </a:solidFill>
        <a:ln>
          <a:noFill/>
        </a:ln>
      </c:spPr>
    </c:plotArea>
    <c:plotVisOnly val="1"/>
    <c:dispBlanksAs val="zero"/>
    <c:showDLblsOverMax val="1"/>
  </c:chart>
  <c:spPr>
    <a:solidFill>
      <a:srgbClr val="FFFFFF"/>
    </a:solidFill>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sz="1400" b="0" strike="noStrike" spc="-1">
                <a:solidFill>
                  <a:srgbClr val="595959"/>
                </a:solidFill>
                <a:latin typeface="Calibri"/>
                <a:ea typeface="Calibri"/>
              </a:defRPr>
            </a:pPr>
            <a:r>
              <a:rPr lang="en-US" sz="1400" b="0" strike="noStrike" spc="-1">
                <a:solidFill>
                  <a:srgbClr val="595959"/>
                </a:solidFill>
                <a:latin typeface="Calibri"/>
                <a:ea typeface="Calibri"/>
              </a:rPr>
              <a:t>2020 Revised Covid-19 Citizens Budget General Framework
Billion Naira</a:t>
            </a:r>
          </a:p>
        </c:rich>
      </c:tx>
      <c:overlay val="0"/>
      <c:spPr>
        <a:noFill/>
        <a:ln>
          <a:noFill/>
        </a:ln>
      </c:spPr>
    </c:title>
    <c:autoTitleDeleted val="0"/>
    <c:plotArea>
      <c:layout>
        <c:manualLayout>
          <c:layoutTarget val="inner"/>
          <c:xMode val="edge"/>
          <c:yMode val="edge"/>
          <c:x val="9.1003243643329845E-2"/>
          <c:y val="0.13386286318158422"/>
          <c:w val="0.9089967563566701"/>
          <c:h val="0.74385979327793816"/>
        </c:manualLayout>
      </c:layout>
      <c:barChart>
        <c:barDir val="col"/>
        <c:grouping val="stacked"/>
        <c:varyColors val="1"/>
        <c:ser>
          <c:idx val="0"/>
          <c:order val="0"/>
          <c:tx>
            <c:strRef>
              <c:f>'General Framework '!$C$6</c:f>
              <c:strCache>
                <c:ptCount val="1"/>
                <c:pt idx="0">
                  <c:v>2020 Approved Budget Billion Naira</c:v>
                </c:pt>
              </c:strCache>
            </c:strRef>
          </c:tx>
          <c:spPr>
            <a:solidFill>
              <a:schemeClr val="tx2"/>
            </a:solidFill>
            <a:ln>
              <a:noFill/>
            </a:ln>
          </c:spPr>
          <c:invertIfNegative val="0"/>
          <c:dPt>
            <c:idx val="0"/>
            <c:invertIfNegative val="1"/>
            <c:bubble3D val="0"/>
            <c:extLst>
              <c:ext xmlns:c16="http://schemas.microsoft.com/office/drawing/2014/chart" uri="{C3380CC4-5D6E-409C-BE32-E72D297353CC}">
                <c16:uniqueId val="{00000000-5A66-48AC-B23E-9A064FC8858D}"/>
              </c:ext>
            </c:extLst>
          </c:dPt>
          <c:dPt>
            <c:idx val="1"/>
            <c:invertIfNegative val="1"/>
            <c:bubble3D val="0"/>
            <c:extLst>
              <c:ext xmlns:c16="http://schemas.microsoft.com/office/drawing/2014/chart" uri="{C3380CC4-5D6E-409C-BE32-E72D297353CC}">
                <c16:uniqueId val="{00000001-5A66-48AC-B23E-9A064FC8858D}"/>
              </c:ext>
            </c:extLst>
          </c:dPt>
          <c:dPt>
            <c:idx val="2"/>
            <c:invertIfNegative val="1"/>
            <c:bubble3D val="0"/>
            <c:extLst>
              <c:ext xmlns:c16="http://schemas.microsoft.com/office/drawing/2014/chart" uri="{C3380CC4-5D6E-409C-BE32-E72D297353CC}">
                <c16:uniqueId val="{00000002-5A66-48AC-B23E-9A064FC8858D}"/>
              </c:ext>
            </c:extLst>
          </c:dPt>
          <c:dPt>
            <c:idx val="3"/>
            <c:invertIfNegative val="1"/>
            <c:bubble3D val="0"/>
            <c:extLst>
              <c:ext xmlns:c16="http://schemas.microsoft.com/office/drawing/2014/chart" uri="{C3380CC4-5D6E-409C-BE32-E72D297353CC}">
                <c16:uniqueId val="{00000003-5A66-48AC-B23E-9A064FC8858D}"/>
              </c:ext>
            </c:extLst>
          </c:dPt>
          <c:dPt>
            <c:idx val="4"/>
            <c:invertIfNegative val="1"/>
            <c:bubble3D val="0"/>
            <c:extLst>
              <c:ext xmlns:c16="http://schemas.microsoft.com/office/drawing/2014/chart" uri="{C3380CC4-5D6E-409C-BE32-E72D297353CC}">
                <c16:uniqueId val="{00000004-5A66-48AC-B23E-9A064FC8858D}"/>
              </c:ext>
            </c:extLst>
          </c:dPt>
          <c:dLbls>
            <c:spPr>
              <a:noFill/>
              <a:ln>
                <a:noFill/>
              </a:ln>
              <a:effectLst/>
            </c:spPr>
            <c:txPr>
              <a:bodyPr/>
              <a:lstStyle/>
              <a:p>
                <a:pPr>
                  <a:defRPr sz="1200" b="1" strike="noStrike" spc="-1">
                    <a:solidFill>
                      <a:schemeClr val="bg1"/>
                    </a:solidFill>
                    <a:latin typeface="Calibri"/>
                    <a:ea typeface="Calibri"/>
                  </a:defRPr>
                </a:pPr>
                <a:endParaRPr lang="en-NG"/>
              </a:p>
            </c:txPr>
            <c:dLblPos val="ctr"/>
            <c:showLegendKey val="0"/>
            <c:showVal val="1"/>
            <c:showCatName val="0"/>
            <c:showSerName val="0"/>
            <c:showPercent val="0"/>
            <c:showBubbleSize val="1"/>
            <c:separator>; </c:separator>
            <c:showLeaderLines val="0"/>
            <c:extLst>
              <c:ext xmlns:c15="http://schemas.microsoft.com/office/drawing/2012/chart" uri="{CE6537A1-D6FC-4f65-9D91-7224C49458BB}">
                <c15:showLeaderLines val="0"/>
              </c:ext>
            </c:extLst>
          </c:dLbls>
          <c:cat>
            <c:strRef>
              <c:f>'General Framework '!$A$7:$A$11</c:f>
              <c:strCache>
                <c:ptCount val="5"/>
                <c:pt idx="0">
                  <c:v>Total Budget Expenditure</c:v>
                </c:pt>
                <c:pt idx="1">
                  <c:v>Total Budget Revenue and Grants</c:v>
                </c:pt>
                <c:pt idx="2">
                  <c:v>Budget Deficit</c:v>
                </c:pt>
                <c:pt idx="3">
                  <c:v>Total Budget Financing</c:v>
                </c:pt>
                <c:pt idx="4">
                  <c:v>Financing Gap</c:v>
                </c:pt>
              </c:strCache>
            </c:strRef>
          </c:cat>
          <c:val>
            <c:numRef>
              <c:f>'General Framework '!$C$7:$C$11</c:f>
              <c:numCache>
                <c:formatCode>#.##00</c:formatCode>
                <c:ptCount val="5"/>
                <c:pt idx="0">
                  <c:v>183.15557241100001</c:v>
                </c:pt>
                <c:pt idx="1">
                  <c:v>177.65557241100001</c:v>
                </c:pt>
                <c:pt idx="2">
                  <c:v>5.5</c:v>
                </c:pt>
                <c:pt idx="3">
                  <c:v>5.5</c:v>
                </c:pt>
                <c:pt idx="4">
                  <c:v>0</c:v>
                </c:pt>
              </c:numCache>
            </c:numRef>
          </c:val>
          <c:extLst>
            <c:ext xmlns:c16="http://schemas.microsoft.com/office/drawing/2014/chart" uri="{C3380CC4-5D6E-409C-BE32-E72D297353CC}">
              <c16:uniqueId val="{00000005-5A66-48AC-B23E-9A064FC8858D}"/>
            </c:ext>
          </c:extLst>
        </c:ser>
        <c:dLbls>
          <c:showLegendKey val="0"/>
          <c:showVal val="0"/>
          <c:showCatName val="0"/>
          <c:showSerName val="0"/>
          <c:showPercent val="0"/>
          <c:showBubbleSize val="0"/>
        </c:dLbls>
        <c:gapWidth val="46"/>
        <c:overlap val="100"/>
        <c:axId val="467613776"/>
        <c:axId val="467612992"/>
      </c:barChart>
      <c:catAx>
        <c:axId val="467613776"/>
        <c:scaling>
          <c:orientation val="minMax"/>
        </c:scaling>
        <c:delete val="0"/>
        <c:axPos val="b"/>
        <c:numFmt formatCode="General" sourceLinked="1"/>
        <c:majorTickMark val="cross"/>
        <c:minorTickMark val="cross"/>
        <c:tickLblPos val="nextTo"/>
        <c:spPr>
          <a:ln w="6480">
            <a:solidFill>
              <a:srgbClr val="8B8B8B"/>
            </a:solidFill>
            <a:round/>
          </a:ln>
        </c:spPr>
        <c:txPr>
          <a:bodyPr/>
          <a:lstStyle/>
          <a:p>
            <a:pPr>
              <a:defRPr sz="900" b="1" strike="noStrike" spc="-1">
                <a:solidFill>
                  <a:srgbClr val="595959"/>
                </a:solidFill>
                <a:latin typeface="Calibri"/>
                <a:ea typeface="Calibri"/>
              </a:defRPr>
            </a:pPr>
            <a:endParaRPr lang="en-NG"/>
          </a:p>
        </c:txPr>
        <c:crossAx val="467612992"/>
        <c:crosses val="autoZero"/>
        <c:auto val="1"/>
        <c:lblAlgn val="ctr"/>
        <c:lblOffset val="100"/>
        <c:noMultiLvlLbl val="1"/>
      </c:catAx>
      <c:valAx>
        <c:axId val="467612992"/>
        <c:scaling>
          <c:orientation val="minMax"/>
        </c:scaling>
        <c:delete val="0"/>
        <c:axPos val="l"/>
        <c:majorGridlines>
          <c:spPr>
            <a:ln w="6480">
              <a:solidFill>
                <a:srgbClr val="D9D9D9"/>
              </a:solidFill>
              <a:round/>
            </a:ln>
          </c:spPr>
        </c:majorGridlines>
        <c:numFmt formatCode="General" sourceLinked="0"/>
        <c:majorTickMark val="cross"/>
        <c:minorTickMark val="cross"/>
        <c:tickLblPos val="nextTo"/>
        <c:spPr>
          <a:ln w="47520">
            <a:noFill/>
          </a:ln>
        </c:spPr>
        <c:txPr>
          <a:bodyPr/>
          <a:lstStyle/>
          <a:p>
            <a:pPr>
              <a:defRPr sz="900" b="0" strike="noStrike" spc="-1">
                <a:solidFill>
                  <a:srgbClr val="595959"/>
                </a:solidFill>
                <a:latin typeface="Calibri"/>
                <a:ea typeface="Calibri"/>
              </a:defRPr>
            </a:pPr>
            <a:endParaRPr lang="en-NG"/>
          </a:p>
        </c:txPr>
        <c:crossAx val="467613776"/>
        <c:crosses val="autoZero"/>
        <c:crossBetween val="between"/>
      </c:valAx>
      <c:spPr>
        <a:solidFill>
          <a:srgbClr val="FFFFFF"/>
        </a:solidFill>
        <a:ln>
          <a:noFill/>
        </a:ln>
      </c:spPr>
    </c:plotArea>
    <c:plotVisOnly val="1"/>
    <c:dispBlanksAs val="zero"/>
    <c:showDLblsOverMax val="1"/>
  </c:chart>
  <c:spPr>
    <a:solidFill>
      <a:srgbClr val="FFFFFF"/>
    </a:solidFill>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sz="1800" b="0" strike="noStrike" spc="-1">
                <a:solidFill>
                  <a:srgbClr val="757575"/>
                </a:solidFill>
                <a:latin typeface="Calibri"/>
                <a:ea typeface="Calibri"/>
              </a:defRPr>
            </a:pPr>
            <a:r>
              <a:rPr lang="en-US" sz="1800" b="0" strike="noStrike" spc="-1">
                <a:solidFill>
                  <a:srgbClr val="757575"/>
                </a:solidFill>
                <a:latin typeface="Calibri"/>
                <a:ea typeface="Calibri"/>
              </a:rPr>
              <a:t>2020 Revised</a:t>
            </a:r>
            <a:r>
              <a:rPr lang="en-US" sz="1800" b="0" strike="noStrike" spc="-1" baseline="0">
                <a:solidFill>
                  <a:srgbClr val="757575"/>
                </a:solidFill>
                <a:latin typeface="Calibri"/>
                <a:ea typeface="Calibri"/>
              </a:rPr>
              <a:t> </a:t>
            </a:r>
            <a:r>
              <a:rPr lang="en-US" sz="1800" b="0" strike="noStrike" spc="-1">
                <a:solidFill>
                  <a:srgbClr val="757575"/>
                </a:solidFill>
                <a:latin typeface="Calibri"/>
                <a:ea typeface="Calibri"/>
              </a:rPr>
              <a:t>MDA Budgeted Expenditure Allocation</a:t>
            </a:r>
          </a:p>
        </c:rich>
      </c:tx>
      <c:overlay val="0"/>
      <c:spPr>
        <a:noFill/>
        <a:ln>
          <a:noFill/>
        </a:ln>
      </c:spPr>
    </c:title>
    <c:autoTitleDeleted val="0"/>
    <c:plotArea>
      <c:layout>
        <c:manualLayout>
          <c:layoutTarget val="inner"/>
          <c:xMode val="edge"/>
          <c:yMode val="edge"/>
          <c:x val="9.2472440944881898E-2"/>
          <c:y val="0.130088124213177"/>
          <c:w val="0.85335433070866096"/>
          <c:h val="0.60688208140998701"/>
        </c:manualLayout>
      </c:layout>
      <c:barChart>
        <c:barDir val="col"/>
        <c:grouping val="stacked"/>
        <c:varyColors val="0"/>
        <c:ser>
          <c:idx val="0"/>
          <c:order val="0"/>
          <c:tx>
            <c:strRef>
              <c:f>'Sectoral Allocations'!$B$5</c:f>
              <c:strCache>
                <c:ptCount val="1"/>
                <c:pt idx="0">
                  <c:v>Personnel Cost</c:v>
                </c:pt>
              </c:strCache>
            </c:strRef>
          </c:tx>
          <c:spPr>
            <a:solidFill>
              <a:srgbClr val="4472C4"/>
            </a:solidFill>
            <a:ln>
              <a:noFill/>
            </a:ln>
          </c:spPr>
          <c:invertIfNegative val="0"/>
          <c:dLbls>
            <c:spPr>
              <a:noFill/>
              <a:ln>
                <a:noFill/>
              </a:ln>
              <a:effectLst/>
            </c:spPr>
            <c:txPr>
              <a:bodyPr/>
              <a:lstStyle/>
              <a:p>
                <a:pPr>
                  <a:defRPr sz="1000" b="0" strike="noStrike" spc="-1">
                    <a:solidFill>
                      <a:srgbClr val="000000"/>
                    </a:solidFill>
                    <a:latin typeface="Calibri"/>
                    <a:ea typeface="Calibri"/>
                  </a:defRPr>
                </a:pPr>
                <a:endParaRPr lang="en-NG"/>
              </a:p>
            </c:txPr>
            <c:dLblPos val="ct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0"/>
              </c:ext>
            </c:extLst>
          </c:dLbls>
          <c:cat>
            <c:strRef>
              <c:f>'Sectoral Allocations'!$A$6:$A$27</c:f>
              <c:strCache>
                <c:ptCount val="20"/>
                <c:pt idx="0">
                  <c:v>S.A Security Matters</c:v>
                </c:pt>
                <c:pt idx="1">
                  <c:v>General Services Bureau (SSG)</c:v>
                </c:pt>
                <c:pt idx="2">
                  <c:v>Min. of Special Projects</c:v>
                </c:pt>
                <c:pt idx="3">
                  <c:v>Min. of Information &amp; Orientation</c:v>
                </c:pt>
                <c:pt idx="4">
                  <c:v>Min. of Agriculture</c:v>
                </c:pt>
                <c:pt idx="5">
                  <c:v>Board of Internal Revenue</c:v>
                </c:pt>
                <c:pt idx="6">
                  <c:v>Min. of Finance</c:v>
                </c:pt>
                <c:pt idx="7">
                  <c:v>Min. of Budget &amp; Economic Planning</c:v>
                </c:pt>
                <c:pt idx="8">
                  <c:v>Min. of Works &amp; Transport</c:v>
                </c:pt>
                <c:pt idx="9">
                  <c:v>Min. of Local Govt., Chieftiency &amp; Community Development</c:v>
                </c:pt>
                <c:pt idx="10">
                  <c:v>Direct Labour Agency</c:v>
                </c:pt>
                <c:pt idx="11">
                  <c:v>Min. of Trade, Industry &amp; Investment</c:v>
                </c:pt>
                <c:pt idx="12">
                  <c:v>Min. of labour,eployment &amp; Empowerment</c:v>
                </c:pt>
                <c:pt idx="13">
                  <c:v>Min. of power and Water Resources</c:v>
                </c:pt>
                <c:pt idx="14">
                  <c:v>Min. of Health</c:v>
                </c:pt>
                <c:pt idx="15">
                  <c:v>Min. of Environment</c:v>
                </c:pt>
                <c:pt idx="16">
                  <c:v>High Court</c:v>
                </c:pt>
                <c:pt idx="17">
                  <c:v>Min. of Women, Children Affairs &amp; Social Development</c:v>
                </c:pt>
                <c:pt idx="18">
                  <c:v>Min. of Education</c:v>
                </c:pt>
                <c:pt idx="19">
                  <c:v>Min. of Youth Development</c:v>
                </c:pt>
              </c:strCache>
            </c:strRef>
          </c:cat>
          <c:val>
            <c:numRef>
              <c:f>'Sectoral Allocations'!$B$6:$B$27</c:f>
              <c:numCache>
                <c:formatCode>#,##0</c:formatCode>
                <c:ptCount val="22"/>
                <c:pt idx="1">
                  <c:v>6205444348</c:v>
                </c:pt>
                <c:pt idx="2">
                  <c:v>83312107</c:v>
                </c:pt>
                <c:pt idx="3">
                  <c:v>366755364</c:v>
                </c:pt>
                <c:pt idx="4">
                  <c:v>515443401</c:v>
                </c:pt>
                <c:pt idx="5">
                  <c:v>93259340</c:v>
                </c:pt>
                <c:pt idx="6">
                  <c:v>83346189</c:v>
                </c:pt>
                <c:pt idx="7">
                  <c:v>163502278</c:v>
                </c:pt>
                <c:pt idx="8">
                  <c:v>381320354</c:v>
                </c:pt>
                <c:pt idx="9">
                  <c:v>639797878</c:v>
                </c:pt>
                <c:pt idx="10">
                  <c:v>0</c:v>
                </c:pt>
                <c:pt idx="11">
                  <c:v>271252292</c:v>
                </c:pt>
                <c:pt idx="12">
                  <c:v>63662558</c:v>
                </c:pt>
                <c:pt idx="13">
                  <c:v>302970612</c:v>
                </c:pt>
                <c:pt idx="14">
                  <c:v>3843068693</c:v>
                </c:pt>
                <c:pt idx="15">
                  <c:v>967944943</c:v>
                </c:pt>
                <c:pt idx="16">
                  <c:v>933224436</c:v>
                </c:pt>
                <c:pt idx="17">
                  <c:v>569274373</c:v>
                </c:pt>
                <c:pt idx="18">
                  <c:v>559992736</c:v>
                </c:pt>
                <c:pt idx="19">
                  <c:v>132677632</c:v>
                </c:pt>
              </c:numCache>
            </c:numRef>
          </c:val>
          <c:extLst>
            <c:ext xmlns:c16="http://schemas.microsoft.com/office/drawing/2014/chart" uri="{C3380CC4-5D6E-409C-BE32-E72D297353CC}">
              <c16:uniqueId val="{00000000-9444-4942-B025-338DC96AB1F2}"/>
            </c:ext>
          </c:extLst>
        </c:ser>
        <c:ser>
          <c:idx val="1"/>
          <c:order val="1"/>
          <c:tx>
            <c:strRef>
              <c:f>'Sectoral Allocations'!$C$5</c:f>
              <c:strCache>
                <c:ptCount val="1"/>
                <c:pt idx="0">
                  <c:v>Overheads and Other Recurrent</c:v>
                </c:pt>
              </c:strCache>
            </c:strRef>
          </c:tx>
          <c:spPr>
            <a:solidFill>
              <a:srgbClr val="ED7D31"/>
            </a:solidFill>
            <a:ln>
              <a:noFill/>
            </a:ln>
          </c:spPr>
          <c:invertIfNegative val="0"/>
          <c:dLbls>
            <c:spPr>
              <a:noFill/>
              <a:ln>
                <a:noFill/>
              </a:ln>
              <a:effectLst/>
            </c:spPr>
            <c:txPr>
              <a:bodyPr/>
              <a:lstStyle/>
              <a:p>
                <a:pPr>
                  <a:defRPr sz="1000" b="0" strike="noStrike" spc="-1">
                    <a:solidFill>
                      <a:srgbClr val="000000"/>
                    </a:solidFill>
                    <a:latin typeface="Calibri"/>
                    <a:ea typeface="Calibri"/>
                  </a:defRPr>
                </a:pPr>
                <a:endParaRPr lang="en-NG"/>
              </a:p>
            </c:txPr>
            <c:dLblPos val="ct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0"/>
              </c:ext>
            </c:extLst>
          </c:dLbls>
          <c:cat>
            <c:strRef>
              <c:f>'Sectoral Allocations'!$A$6:$A$27</c:f>
              <c:strCache>
                <c:ptCount val="20"/>
                <c:pt idx="0">
                  <c:v>S.A Security Matters</c:v>
                </c:pt>
                <c:pt idx="1">
                  <c:v>General Services Bureau (SSG)</c:v>
                </c:pt>
                <c:pt idx="2">
                  <c:v>Min. of Special Projects</c:v>
                </c:pt>
                <c:pt idx="3">
                  <c:v>Min. of Information &amp; Orientation</c:v>
                </c:pt>
                <c:pt idx="4">
                  <c:v>Min. of Agriculture</c:v>
                </c:pt>
                <c:pt idx="5">
                  <c:v>Board of Internal Revenue</c:v>
                </c:pt>
                <c:pt idx="6">
                  <c:v>Min. of Finance</c:v>
                </c:pt>
                <c:pt idx="7">
                  <c:v>Min. of Budget &amp; Economic Planning</c:v>
                </c:pt>
                <c:pt idx="8">
                  <c:v>Min. of Works &amp; Transport</c:v>
                </c:pt>
                <c:pt idx="9">
                  <c:v>Min. of Local Govt., Chieftiency &amp; Community Development</c:v>
                </c:pt>
                <c:pt idx="10">
                  <c:v>Direct Labour Agency</c:v>
                </c:pt>
                <c:pt idx="11">
                  <c:v>Min. of Trade, Industry &amp; Investment</c:v>
                </c:pt>
                <c:pt idx="12">
                  <c:v>Min. of labour,eployment &amp; Empowerment</c:v>
                </c:pt>
                <c:pt idx="13">
                  <c:v>Min. of power and Water Resources</c:v>
                </c:pt>
                <c:pt idx="14">
                  <c:v>Min. of Health</c:v>
                </c:pt>
                <c:pt idx="15">
                  <c:v>Min. of Environment</c:v>
                </c:pt>
                <c:pt idx="16">
                  <c:v>High Court</c:v>
                </c:pt>
                <c:pt idx="17">
                  <c:v>Min. of Women, Children Affairs &amp; Social Development</c:v>
                </c:pt>
                <c:pt idx="18">
                  <c:v>Min. of Education</c:v>
                </c:pt>
                <c:pt idx="19">
                  <c:v>Min. of Youth Development</c:v>
                </c:pt>
              </c:strCache>
            </c:strRef>
          </c:cat>
          <c:val>
            <c:numRef>
              <c:f>'Sectoral Allocations'!$C$6:$C$27</c:f>
              <c:numCache>
                <c:formatCode>#,##0</c:formatCode>
                <c:ptCount val="22"/>
                <c:pt idx="0">
                  <c:v>4010126010</c:v>
                </c:pt>
                <c:pt idx="1">
                  <c:v>1064467325</c:v>
                </c:pt>
                <c:pt idx="2">
                  <c:v>8236386</c:v>
                </c:pt>
                <c:pt idx="3">
                  <c:v>648099393</c:v>
                </c:pt>
                <c:pt idx="4">
                  <c:v>26953910</c:v>
                </c:pt>
                <c:pt idx="5">
                  <c:v>413942485</c:v>
                </c:pt>
                <c:pt idx="6">
                  <c:v>1048715536</c:v>
                </c:pt>
                <c:pt idx="7">
                  <c:v>653529089</c:v>
                </c:pt>
                <c:pt idx="8">
                  <c:v>278244141</c:v>
                </c:pt>
                <c:pt idx="9">
                  <c:v>31821160</c:v>
                </c:pt>
                <c:pt idx="10">
                  <c:v>3410391</c:v>
                </c:pt>
                <c:pt idx="11">
                  <c:v>75041942</c:v>
                </c:pt>
                <c:pt idx="12">
                  <c:v>104867940</c:v>
                </c:pt>
                <c:pt idx="13">
                  <c:v>130887273</c:v>
                </c:pt>
                <c:pt idx="14">
                  <c:v>302529879</c:v>
                </c:pt>
                <c:pt idx="15">
                  <c:v>631689392</c:v>
                </c:pt>
                <c:pt idx="16">
                  <c:v>1248486208</c:v>
                </c:pt>
                <c:pt idx="17">
                  <c:v>100212799</c:v>
                </c:pt>
                <c:pt idx="18">
                  <c:v>352129250</c:v>
                </c:pt>
                <c:pt idx="19">
                  <c:v>172994424</c:v>
                </c:pt>
              </c:numCache>
            </c:numRef>
          </c:val>
          <c:extLst>
            <c:ext xmlns:c16="http://schemas.microsoft.com/office/drawing/2014/chart" uri="{C3380CC4-5D6E-409C-BE32-E72D297353CC}">
              <c16:uniqueId val="{00000001-9444-4942-B025-338DC96AB1F2}"/>
            </c:ext>
          </c:extLst>
        </c:ser>
        <c:ser>
          <c:idx val="2"/>
          <c:order val="2"/>
          <c:tx>
            <c:strRef>
              <c:f>'Sectoral Allocations'!$E$5</c:f>
              <c:strCache>
                <c:ptCount val="1"/>
                <c:pt idx="0">
                  <c:v>Capital Expenditure</c:v>
                </c:pt>
              </c:strCache>
            </c:strRef>
          </c:tx>
          <c:spPr>
            <a:solidFill>
              <a:srgbClr val="A5A5A5"/>
            </a:solidFill>
            <a:ln>
              <a:noFill/>
            </a:ln>
          </c:spPr>
          <c:invertIfNegative val="0"/>
          <c:dLbls>
            <c:spPr>
              <a:noFill/>
              <a:ln>
                <a:noFill/>
              </a:ln>
              <a:effectLst/>
            </c:spPr>
            <c:txPr>
              <a:bodyPr/>
              <a:lstStyle/>
              <a:p>
                <a:pPr>
                  <a:defRPr sz="1000" b="0" strike="noStrike" spc="-1">
                    <a:solidFill>
                      <a:srgbClr val="000000"/>
                    </a:solidFill>
                    <a:latin typeface="Calibri"/>
                    <a:ea typeface="Calibri"/>
                  </a:defRPr>
                </a:pPr>
                <a:endParaRPr lang="en-NG"/>
              </a:p>
            </c:txPr>
            <c:dLblPos val="ct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0"/>
              </c:ext>
            </c:extLst>
          </c:dLbls>
          <c:cat>
            <c:strRef>
              <c:f>'Sectoral Allocations'!$A$6:$A$27</c:f>
              <c:strCache>
                <c:ptCount val="20"/>
                <c:pt idx="0">
                  <c:v>S.A Security Matters</c:v>
                </c:pt>
                <c:pt idx="1">
                  <c:v>General Services Bureau (SSG)</c:v>
                </c:pt>
                <c:pt idx="2">
                  <c:v>Min. of Special Projects</c:v>
                </c:pt>
                <c:pt idx="3">
                  <c:v>Min. of Information &amp; Orientation</c:v>
                </c:pt>
                <c:pt idx="4">
                  <c:v>Min. of Agriculture</c:v>
                </c:pt>
                <c:pt idx="5">
                  <c:v>Board of Internal Revenue</c:v>
                </c:pt>
                <c:pt idx="6">
                  <c:v>Min. of Finance</c:v>
                </c:pt>
                <c:pt idx="7">
                  <c:v>Min. of Budget &amp; Economic Planning</c:v>
                </c:pt>
                <c:pt idx="8">
                  <c:v>Min. of Works &amp; Transport</c:v>
                </c:pt>
                <c:pt idx="9">
                  <c:v>Min. of Local Govt., Chieftiency &amp; Community Development</c:v>
                </c:pt>
                <c:pt idx="10">
                  <c:v>Direct Labour Agency</c:v>
                </c:pt>
                <c:pt idx="11">
                  <c:v>Min. of Trade, Industry &amp; Investment</c:v>
                </c:pt>
                <c:pt idx="12">
                  <c:v>Min. of labour,eployment &amp; Empowerment</c:v>
                </c:pt>
                <c:pt idx="13">
                  <c:v>Min. of power and Water Resources</c:v>
                </c:pt>
                <c:pt idx="14">
                  <c:v>Min. of Health</c:v>
                </c:pt>
                <c:pt idx="15">
                  <c:v>Min. of Environment</c:v>
                </c:pt>
                <c:pt idx="16">
                  <c:v>High Court</c:v>
                </c:pt>
                <c:pt idx="17">
                  <c:v>Min. of Women, Children Affairs &amp; Social Development</c:v>
                </c:pt>
                <c:pt idx="18">
                  <c:v>Min. of Education</c:v>
                </c:pt>
                <c:pt idx="19">
                  <c:v>Min. of Youth Development</c:v>
                </c:pt>
              </c:strCache>
            </c:strRef>
          </c:cat>
          <c:val>
            <c:numRef>
              <c:f>'Sectoral Allocations'!$E$6:$E$27</c:f>
              <c:numCache>
                <c:formatCode>#,##0</c:formatCode>
                <c:ptCount val="22"/>
                <c:pt idx="0">
                  <c:v>188586135</c:v>
                </c:pt>
                <c:pt idx="1">
                  <c:v>90310890</c:v>
                </c:pt>
                <c:pt idx="2">
                  <c:v>659497516</c:v>
                </c:pt>
                <c:pt idx="3">
                  <c:v>90310890</c:v>
                </c:pt>
                <c:pt idx="4">
                  <c:v>3023900130</c:v>
                </c:pt>
                <c:pt idx="6">
                  <c:v>222455463</c:v>
                </c:pt>
                <c:pt idx="7">
                  <c:v>436798473</c:v>
                </c:pt>
                <c:pt idx="8">
                  <c:v>23692544469</c:v>
                </c:pt>
                <c:pt idx="9">
                  <c:v>3507433526</c:v>
                </c:pt>
                <c:pt idx="10">
                  <c:v>248167194</c:v>
                </c:pt>
                <c:pt idx="11">
                  <c:v>64928299</c:v>
                </c:pt>
                <c:pt idx="12">
                  <c:v>29064355</c:v>
                </c:pt>
                <c:pt idx="13">
                  <c:v>50177422</c:v>
                </c:pt>
                <c:pt idx="14">
                  <c:v>2700000000</c:v>
                </c:pt>
                <c:pt idx="15">
                  <c:v>43164355</c:v>
                </c:pt>
                <c:pt idx="16">
                  <c:v>487984796</c:v>
                </c:pt>
                <c:pt idx="17">
                  <c:v>31955444</c:v>
                </c:pt>
                <c:pt idx="18">
                  <c:v>221024796</c:v>
                </c:pt>
                <c:pt idx="19">
                  <c:v>34216631</c:v>
                </c:pt>
              </c:numCache>
            </c:numRef>
          </c:val>
          <c:extLst>
            <c:ext xmlns:c16="http://schemas.microsoft.com/office/drawing/2014/chart" uri="{C3380CC4-5D6E-409C-BE32-E72D297353CC}">
              <c16:uniqueId val="{00000002-9444-4942-B025-338DC96AB1F2}"/>
            </c:ext>
          </c:extLst>
        </c:ser>
        <c:dLbls>
          <c:showLegendKey val="0"/>
          <c:showVal val="0"/>
          <c:showCatName val="0"/>
          <c:showSerName val="0"/>
          <c:showPercent val="0"/>
          <c:showBubbleSize val="0"/>
        </c:dLbls>
        <c:gapWidth val="43"/>
        <c:overlap val="100"/>
        <c:axId val="739757352"/>
        <c:axId val="739758920"/>
      </c:barChart>
      <c:catAx>
        <c:axId val="739757352"/>
        <c:scaling>
          <c:orientation val="minMax"/>
        </c:scaling>
        <c:delete val="0"/>
        <c:axPos val="b"/>
        <c:numFmt formatCode="General" sourceLinked="1"/>
        <c:majorTickMark val="cross"/>
        <c:minorTickMark val="cross"/>
        <c:tickLblPos val="nextTo"/>
        <c:spPr>
          <a:ln w="6480">
            <a:solidFill>
              <a:srgbClr val="8B8B8B"/>
            </a:solidFill>
            <a:round/>
          </a:ln>
        </c:spPr>
        <c:txPr>
          <a:bodyPr/>
          <a:lstStyle/>
          <a:p>
            <a:pPr>
              <a:defRPr sz="1000" b="0" strike="noStrike" spc="-1">
                <a:solidFill>
                  <a:srgbClr val="000000"/>
                </a:solidFill>
                <a:latin typeface="Calibri"/>
                <a:ea typeface="Calibri"/>
              </a:defRPr>
            </a:pPr>
            <a:endParaRPr lang="en-NG"/>
          </a:p>
        </c:txPr>
        <c:crossAx val="739758920"/>
        <c:crosses val="autoZero"/>
        <c:auto val="1"/>
        <c:lblAlgn val="ctr"/>
        <c:lblOffset val="100"/>
        <c:noMultiLvlLbl val="1"/>
      </c:catAx>
      <c:valAx>
        <c:axId val="739758920"/>
        <c:scaling>
          <c:orientation val="minMax"/>
        </c:scaling>
        <c:delete val="0"/>
        <c:axPos val="l"/>
        <c:majorGridlines>
          <c:spPr>
            <a:ln w="6480">
              <a:solidFill>
                <a:srgbClr val="B7B7B7"/>
              </a:solidFill>
              <a:round/>
            </a:ln>
          </c:spPr>
        </c:majorGridlines>
        <c:numFmt formatCode="General" sourceLinked="0"/>
        <c:majorTickMark val="cross"/>
        <c:minorTickMark val="cross"/>
        <c:tickLblPos val="nextTo"/>
        <c:spPr>
          <a:ln w="47520">
            <a:noFill/>
          </a:ln>
        </c:spPr>
        <c:txPr>
          <a:bodyPr/>
          <a:lstStyle/>
          <a:p>
            <a:pPr>
              <a:defRPr sz="1000" b="0" strike="noStrike" spc="-1">
                <a:solidFill>
                  <a:srgbClr val="000000"/>
                </a:solidFill>
                <a:latin typeface="Calibri"/>
                <a:ea typeface="Calibri"/>
              </a:defRPr>
            </a:pPr>
            <a:endParaRPr lang="en-NG"/>
          </a:p>
        </c:txPr>
        <c:crossAx val="739757352"/>
        <c:crosses val="autoZero"/>
        <c:crossBetween val="between"/>
      </c:valAx>
      <c:spPr>
        <a:solidFill>
          <a:srgbClr val="FFFFFF"/>
        </a:solidFill>
        <a:ln>
          <a:noFill/>
        </a:ln>
      </c:spPr>
    </c:plotArea>
    <c:legend>
      <c:legendPos val="r"/>
      <c:layout>
        <c:manualLayout>
          <c:xMode val="edge"/>
          <c:yMode val="edge"/>
          <c:x val="0.19562327209098901"/>
          <c:y val="0.88395577495818201"/>
          <c:w val="0.54437672790901104"/>
          <c:h val="0.115898437223649"/>
        </c:manualLayout>
      </c:layout>
      <c:overlay val="0"/>
      <c:spPr>
        <a:noFill/>
        <a:ln>
          <a:noFill/>
        </a:ln>
      </c:spPr>
      <c:txPr>
        <a:bodyPr/>
        <a:lstStyle/>
        <a:p>
          <a:pPr>
            <a:defRPr sz="1000" b="0" strike="noStrike" spc="-1">
              <a:solidFill>
                <a:srgbClr val="1A1A1A"/>
              </a:solidFill>
              <a:latin typeface="Calibri"/>
              <a:ea typeface="Calibri"/>
            </a:defRPr>
          </a:pPr>
          <a:endParaRPr lang="en-NG"/>
        </a:p>
      </c:txPr>
    </c:legend>
    <c:plotVisOnly val="1"/>
    <c:dispBlanksAs val="zero"/>
    <c:showDLblsOverMax val="1"/>
  </c:chart>
  <c:spPr>
    <a:solidFill>
      <a:srgbClr val="FFFFFF"/>
    </a:solidFill>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n-US"/>
              <a:t>Ministry/ Sector Share of Budgeted Expenditure</a:t>
            </a:r>
          </a:p>
        </c:rich>
      </c:tx>
      <c:layout>
        <c:manualLayout>
          <c:xMode val="edge"/>
          <c:yMode val="edge"/>
          <c:x val="0.11186770428015599"/>
          <c:y val="5.35463047256476E-2"/>
        </c:manualLayout>
      </c:layout>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en-NG"/>
        </a:p>
      </c:txPr>
    </c:title>
    <c:autoTitleDeleted val="0"/>
    <c:plotArea>
      <c:layout/>
      <c:pieChart>
        <c:varyColors val="1"/>
        <c:ser>
          <c:idx val="0"/>
          <c:order val="0"/>
          <c:tx>
            <c:strRef>
              <c:f>'Sectoral Allocations'!$G$5</c:f>
              <c:strCache>
                <c:ptCount val="1"/>
                <c:pt idx="0">
                  <c:v>Percentage of Total Budgeted Expenditure</c:v>
                </c:pt>
              </c:strCache>
            </c:strRef>
          </c:tx>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3AB6-4A31-89B5-366A4691F7D4}"/>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3AB6-4A31-89B5-366A4691F7D4}"/>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3AB6-4A31-89B5-366A4691F7D4}"/>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3AB6-4A31-89B5-366A4691F7D4}"/>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3AB6-4A31-89B5-366A4691F7D4}"/>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3AB6-4A31-89B5-366A4691F7D4}"/>
              </c:ext>
            </c:extLst>
          </c:dPt>
          <c:dPt>
            <c:idx val="6"/>
            <c:bubble3D val="0"/>
            <c:spPr>
              <a:solidFill>
                <a:schemeClr val="accent1">
                  <a:lumMod val="6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D-3AB6-4A31-89B5-366A4691F7D4}"/>
              </c:ext>
            </c:extLst>
          </c:dPt>
          <c:dPt>
            <c:idx val="7"/>
            <c:bubble3D val="0"/>
            <c:spPr>
              <a:solidFill>
                <a:schemeClr val="accent2">
                  <a:lumMod val="6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F-3AB6-4A31-89B5-366A4691F7D4}"/>
              </c:ext>
            </c:extLst>
          </c:dPt>
          <c:dPt>
            <c:idx val="8"/>
            <c:bubble3D val="0"/>
            <c:spPr>
              <a:solidFill>
                <a:schemeClr val="accent3">
                  <a:lumMod val="6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11-3AB6-4A31-89B5-366A4691F7D4}"/>
              </c:ext>
            </c:extLst>
          </c:dPt>
          <c:dPt>
            <c:idx val="9"/>
            <c:bubble3D val="0"/>
            <c:spPr>
              <a:solidFill>
                <a:schemeClr val="accent4">
                  <a:lumMod val="6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13-3AB6-4A31-89B5-366A4691F7D4}"/>
              </c:ext>
            </c:extLst>
          </c:dPt>
          <c:dPt>
            <c:idx val="10"/>
            <c:bubble3D val="0"/>
            <c:spPr>
              <a:solidFill>
                <a:schemeClr val="accent5">
                  <a:lumMod val="6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15-3AB6-4A31-89B5-366A4691F7D4}"/>
              </c:ext>
            </c:extLst>
          </c:dPt>
          <c:dPt>
            <c:idx val="11"/>
            <c:bubble3D val="0"/>
            <c:spPr>
              <a:solidFill>
                <a:schemeClr val="accent6">
                  <a:lumMod val="6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17-3AB6-4A31-89B5-366A4691F7D4}"/>
              </c:ext>
            </c:extLst>
          </c:dPt>
          <c:dPt>
            <c:idx val="12"/>
            <c:bubble3D val="0"/>
            <c:spPr>
              <a:solidFill>
                <a:schemeClr val="accent1">
                  <a:lumMod val="80000"/>
                  <a:lumOff val="2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19-3AB6-4A31-89B5-366A4691F7D4}"/>
              </c:ext>
            </c:extLst>
          </c:dPt>
          <c:dPt>
            <c:idx val="13"/>
            <c:bubble3D val="0"/>
            <c:spPr>
              <a:solidFill>
                <a:schemeClr val="accent2">
                  <a:lumMod val="80000"/>
                  <a:lumOff val="2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1B-3AB6-4A31-89B5-366A4691F7D4}"/>
              </c:ext>
            </c:extLst>
          </c:dPt>
          <c:dPt>
            <c:idx val="14"/>
            <c:bubble3D val="0"/>
            <c:spPr>
              <a:solidFill>
                <a:schemeClr val="accent3">
                  <a:lumMod val="80000"/>
                  <a:lumOff val="2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1D-3AB6-4A31-89B5-366A4691F7D4}"/>
              </c:ext>
            </c:extLst>
          </c:dPt>
          <c:dPt>
            <c:idx val="15"/>
            <c:bubble3D val="0"/>
            <c:spPr>
              <a:solidFill>
                <a:schemeClr val="accent4">
                  <a:lumMod val="80000"/>
                  <a:lumOff val="2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1F-3AB6-4A31-89B5-366A4691F7D4}"/>
              </c:ext>
            </c:extLst>
          </c:dPt>
          <c:dPt>
            <c:idx val="16"/>
            <c:bubble3D val="0"/>
            <c:spPr>
              <a:solidFill>
                <a:schemeClr val="accent5">
                  <a:lumMod val="80000"/>
                  <a:lumOff val="2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21-3AB6-4A31-89B5-366A4691F7D4}"/>
              </c:ext>
            </c:extLst>
          </c:dPt>
          <c:dPt>
            <c:idx val="17"/>
            <c:bubble3D val="0"/>
            <c:spPr>
              <a:solidFill>
                <a:schemeClr val="accent6">
                  <a:lumMod val="80000"/>
                  <a:lumOff val="2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23-3AB6-4A31-89B5-366A4691F7D4}"/>
              </c:ext>
            </c:extLst>
          </c:dPt>
          <c:dPt>
            <c:idx val="18"/>
            <c:bubble3D val="0"/>
            <c:spPr>
              <a:solidFill>
                <a:schemeClr val="accent1">
                  <a:lumMod val="8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25-3AB6-4A31-89B5-366A4691F7D4}"/>
              </c:ext>
            </c:extLst>
          </c:dPt>
          <c:dPt>
            <c:idx val="19"/>
            <c:bubble3D val="0"/>
            <c:spPr>
              <a:solidFill>
                <a:schemeClr val="accent2">
                  <a:lumMod val="8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27-3AB6-4A31-89B5-366A4691F7D4}"/>
              </c:ext>
            </c:extLst>
          </c:dPt>
          <c:dPt>
            <c:idx val="20"/>
            <c:bubble3D val="0"/>
            <c:spPr>
              <a:solidFill>
                <a:schemeClr val="accent3">
                  <a:lumMod val="8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29-3AB6-4A31-89B5-366A4691F7D4}"/>
              </c:ext>
            </c:extLst>
          </c:dPt>
          <c:dPt>
            <c:idx val="21"/>
            <c:bubble3D val="0"/>
            <c:spPr>
              <a:solidFill>
                <a:schemeClr val="accent4">
                  <a:lumMod val="8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2B-3AB6-4A31-89B5-366A4691F7D4}"/>
              </c:ext>
            </c:extLst>
          </c:dPt>
          <c:dPt>
            <c:idx val="22"/>
            <c:bubble3D val="0"/>
            <c:spPr>
              <a:solidFill>
                <a:schemeClr val="accent5">
                  <a:lumMod val="80000"/>
                </a:schemeClr>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2D-3AB6-4A31-89B5-366A4691F7D4}"/>
              </c:ext>
            </c:extLst>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NG"/>
              </a:p>
            </c:txPr>
            <c:dLblPos val="ctr"/>
            <c:showLegendKey val="0"/>
            <c:showVal val="0"/>
            <c:showCatName val="1"/>
            <c:showSerName val="0"/>
            <c:showPercent val="1"/>
            <c:showBubbleSize val="1"/>
            <c:separator>
</c:separator>
            <c:showLeaderLines val="0"/>
            <c:extLst>
              <c:ext xmlns:c15="http://schemas.microsoft.com/office/drawing/2012/chart" uri="{CE6537A1-D6FC-4f65-9D91-7224C49458BB}"/>
            </c:extLst>
          </c:dLbls>
          <c:cat>
            <c:strRef>
              <c:f>'Sectoral Allocations'!$A$6:$A$28</c:f>
              <c:strCache>
                <c:ptCount val="23"/>
                <c:pt idx="0">
                  <c:v>S.A Security Matters</c:v>
                </c:pt>
                <c:pt idx="1">
                  <c:v>General Services Bureau (SSG)</c:v>
                </c:pt>
                <c:pt idx="2">
                  <c:v>Min. of Special Projects</c:v>
                </c:pt>
                <c:pt idx="3">
                  <c:v>Min. of Information &amp; Orientation</c:v>
                </c:pt>
                <c:pt idx="4">
                  <c:v>Min. of Agriculture</c:v>
                </c:pt>
                <c:pt idx="5">
                  <c:v>Board of Internal Revenue</c:v>
                </c:pt>
                <c:pt idx="6">
                  <c:v>Min. of Finance</c:v>
                </c:pt>
                <c:pt idx="7">
                  <c:v>Min. of Budget &amp; Economic Planning</c:v>
                </c:pt>
                <c:pt idx="8">
                  <c:v>Min. of Works &amp; Transport</c:v>
                </c:pt>
                <c:pt idx="9">
                  <c:v>Min. of Local Govt., Chieftiency &amp; Community Development</c:v>
                </c:pt>
                <c:pt idx="10">
                  <c:v>Direct Labour Agency</c:v>
                </c:pt>
                <c:pt idx="11">
                  <c:v>Min. of Trade, Industry &amp; Investment</c:v>
                </c:pt>
                <c:pt idx="12">
                  <c:v>Min. of labour,eployment &amp; Empowerment</c:v>
                </c:pt>
                <c:pt idx="13">
                  <c:v>Min. of power and Water Resources</c:v>
                </c:pt>
                <c:pt idx="14">
                  <c:v>Min. of Health</c:v>
                </c:pt>
                <c:pt idx="15">
                  <c:v>Min. of Environment</c:v>
                </c:pt>
                <c:pt idx="16">
                  <c:v>High Court</c:v>
                </c:pt>
                <c:pt idx="17">
                  <c:v>Min. of Women, Children Affairs &amp; Social Development</c:v>
                </c:pt>
                <c:pt idx="18">
                  <c:v>Min. of Education</c:v>
                </c:pt>
                <c:pt idx="19">
                  <c:v>Min. of Youth Development</c:v>
                </c:pt>
                <c:pt idx="22">
                  <c:v>Other MDA Expenditure</c:v>
                </c:pt>
              </c:strCache>
            </c:strRef>
          </c:cat>
          <c:val>
            <c:numRef>
              <c:f>'Sectoral Allocations'!$G$6:$G$28</c:f>
              <c:numCache>
                <c:formatCode>#,#00%</c:formatCode>
                <c:ptCount val="23"/>
                <c:pt idx="0">
                  <c:v>2.2886806270422371E-2</c:v>
                </c:pt>
                <c:pt idx="1">
                  <c:v>4.0119918224728074E-2</c:v>
                </c:pt>
                <c:pt idx="2">
                  <c:v>4.0938849615176215E-3</c:v>
                </c:pt>
                <c:pt idx="3">
                  <c:v>6.024159596112297E-3</c:v>
                </c:pt>
                <c:pt idx="4">
                  <c:v>1.9439569995782613E-2</c:v>
                </c:pt>
                <c:pt idx="5">
                  <c:v>2.7647120135642616E-3</c:v>
                </c:pt>
                <c:pt idx="6">
                  <c:v>7.3833526569879382E-3</c:v>
                </c:pt>
                <c:pt idx="7">
                  <c:v>6.8345148829331518E-3</c:v>
                </c:pt>
                <c:pt idx="8">
                  <c:v>0.13274117893482884</c:v>
                </c:pt>
                <c:pt idx="9">
                  <c:v>2.2779643643844005E-2</c:v>
                </c:pt>
                <c:pt idx="10">
                  <c:v>1.3713270286300411E-3</c:v>
                </c:pt>
                <c:pt idx="11">
                  <c:v>2.2415374338083782E-3</c:v>
                </c:pt>
                <c:pt idx="12">
                  <c:v>1.0770719602745205E-3</c:v>
                </c:pt>
                <c:pt idx="13">
                  <c:v>2.6384333854716818E-3</c:v>
                </c:pt>
                <c:pt idx="14">
                  <c:v>3.7314748644776179E-2</c:v>
                </c:pt>
                <c:pt idx="15">
                  <c:v>8.9547494710032465E-3</c:v>
                </c:pt>
                <c:pt idx="16">
                  <c:v>1.4552272274504783E-2</c:v>
                </c:pt>
                <c:pt idx="17">
                  <c:v>3.823501280345636E-3</c:v>
                </c:pt>
                <c:pt idx="18">
                  <c:v>6.1766822730322064E-3</c:v>
                </c:pt>
                <c:pt idx="19">
                  <c:v>1.8527029870672943E-3</c:v>
                </c:pt>
                <c:pt idx="21">
                  <c:v>0</c:v>
                </c:pt>
                <c:pt idx="22">
                  <c:v>0.65492923208036491</c:v>
                </c:pt>
              </c:numCache>
            </c:numRef>
          </c:val>
          <c:extLst>
            <c:ext xmlns:c16="http://schemas.microsoft.com/office/drawing/2014/chart" uri="{C3380CC4-5D6E-409C-BE32-E72D297353CC}">
              <c16:uniqueId val="{0000002E-3AB6-4A31-89B5-366A4691F7D4}"/>
            </c:ext>
          </c:extLst>
        </c:ser>
        <c:dLbls>
          <c:dLblPos val="ctr"/>
          <c:showLegendKey val="0"/>
          <c:showVal val="0"/>
          <c:showCatName val="0"/>
          <c:showSerName val="0"/>
          <c:showPercent val="1"/>
          <c:showBubbleSize val="0"/>
          <c:showLeaderLines val="0"/>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NG"/>
        </a:p>
      </c:txPr>
    </c:legend>
    <c:plotVisOnly val="1"/>
    <c:dispBlanksAs val="gap"/>
    <c:showDLblsOverMax val="1"/>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NG"/>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sz="1800" b="0" strike="noStrike" spc="-1">
                <a:solidFill>
                  <a:srgbClr val="757575"/>
                </a:solidFill>
                <a:latin typeface="Calibri"/>
                <a:ea typeface="Calibri"/>
              </a:defRPr>
            </a:pPr>
            <a:r>
              <a:rPr lang="en-US" sz="1800" b="0" strike="noStrike" spc="-1">
                <a:solidFill>
                  <a:srgbClr val="757575"/>
                </a:solidFill>
                <a:latin typeface="Calibri"/>
                <a:ea typeface="Calibri"/>
              </a:rPr>
              <a:t>2020 Capital Project Allocation - Top 5 and Other Capital Projects</a:t>
            </a:r>
          </a:p>
        </c:rich>
      </c:tx>
      <c:layout>
        <c:manualLayout>
          <c:xMode val="edge"/>
          <c:yMode val="edge"/>
          <c:x val="4.627151979279793E-3"/>
          <c:y val="0.83025563960843241"/>
        </c:manualLayout>
      </c:layout>
      <c:overlay val="0"/>
      <c:spPr>
        <a:noFill/>
        <a:ln>
          <a:noFill/>
        </a:ln>
      </c:spPr>
    </c:title>
    <c:autoTitleDeleted val="0"/>
    <c:plotArea>
      <c:layout/>
      <c:pieChart>
        <c:varyColors val="1"/>
        <c:ser>
          <c:idx val="0"/>
          <c:order val="0"/>
          <c:tx>
            <c:strRef>
              <c:f>'Main Capital Allocations '!$B$47</c:f>
              <c:strCache>
                <c:ptCount val="1"/>
                <c:pt idx="0">
                  <c:v>1.000.000.000</c:v>
                </c:pt>
              </c:strCache>
            </c:strRef>
          </c:tx>
          <c:spPr>
            <a:gradFill>
              <a:gsLst>
                <a:gs pos="0">
                  <a:srgbClr val="6082CA"/>
                </a:gs>
                <a:gs pos="100000">
                  <a:srgbClr val="3D6FC9"/>
                </a:gs>
              </a:gsLst>
              <a:lin ang="5400000"/>
            </a:gradFill>
            <a:ln>
              <a:noFill/>
            </a:ln>
          </c:spPr>
          <c:dPt>
            <c:idx val="0"/>
            <c:bubble3D val="0"/>
            <c:spPr>
              <a:solidFill>
                <a:srgbClr val="4472C4"/>
              </a:solidFill>
              <a:ln>
                <a:noFill/>
              </a:ln>
            </c:spPr>
            <c:extLst>
              <c:ext xmlns:c16="http://schemas.microsoft.com/office/drawing/2014/chart" uri="{C3380CC4-5D6E-409C-BE32-E72D297353CC}">
                <c16:uniqueId val="{00000001-1554-46A4-853B-5747D2D84CFA}"/>
              </c:ext>
            </c:extLst>
          </c:dPt>
          <c:dPt>
            <c:idx val="1"/>
            <c:bubble3D val="0"/>
            <c:spPr>
              <a:solidFill>
                <a:srgbClr val="ED7D31"/>
              </a:solidFill>
              <a:ln>
                <a:noFill/>
              </a:ln>
            </c:spPr>
            <c:extLst>
              <c:ext xmlns:c16="http://schemas.microsoft.com/office/drawing/2014/chart" uri="{C3380CC4-5D6E-409C-BE32-E72D297353CC}">
                <c16:uniqueId val="{00000003-1554-46A4-853B-5747D2D84CFA}"/>
              </c:ext>
            </c:extLst>
          </c:dPt>
          <c:dPt>
            <c:idx val="2"/>
            <c:bubble3D val="0"/>
            <c:spPr>
              <a:solidFill>
                <a:srgbClr val="A5A5A5"/>
              </a:solidFill>
              <a:ln>
                <a:noFill/>
              </a:ln>
            </c:spPr>
            <c:extLst>
              <c:ext xmlns:c16="http://schemas.microsoft.com/office/drawing/2014/chart" uri="{C3380CC4-5D6E-409C-BE32-E72D297353CC}">
                <c16:uniqueId val="{00000005-1554-46A4-853B-5747D2D84CFA}"/>
              </c:ext>
            </c:extLst>
          </c:dPt>
          <c:dPt>
            <c:idx val="3"/>
            <c:bubble3D val="0"/>
            <c:spPr>
              <a:solidFill>
                <a:srgbClr val="FFC000"/>
              </a:solidFill>
              <a:ln>
                <a:noFill/>
              </a:ln>
            </c:spPr>
            <c:extLst>
              <c:ext xmlns:c16="http://schemas.microsoft.com/office/drawing/2014/chart" uri="{C3380CC4-5D6E-409C-BE32-E72D297353CC}">
                <c16:uniqueId val="{00000007-1554-46A4-853B-5747D2D84CFA}"/>
              </c:ext>
            </c:extLst>
          </c:dPt>
          <c:dPt>
            <c:idx val="4"/>
            <c:bubble3D val="0"/>
            <c:spPr>
              <a:solidFill>
                <a:srgbClr val="5B9BD5"/>
              </a:solidFill>
              <a:ln>
                <a:noFill/>
              </a:ln>
            </c:spPr>
            <c:extLst>
              <c:ext xmlns:c16="http://schemas.microsoft.com/office/drawing/2014/chart" uri="{C3380CC4-5D6E-409C-BE32-E72D297353CC}">
                <c16:uniqueId val="{00000009-1554-46A4-853B-5747D2D84CFA}"/>
              </c:ext>
            </c:extLst>
          </c:dPt>
          <c:dLbls>
            <c:dLbl>
              <c:idx val="0"/>
              <c:spPr/>
              <c:txPr>
                <a:bodyPr/>
                <a:lstStyle/>
                <a:p>
                  <a:pPr>
                    <a:defRPr sz="1000" b="0" strike="noStrike" spc="-1">
                      <a:solidFill>
                        <a:srgbClr val="000000"/>
                      </a:solidFill>
                      <a:latin typeface="Calibri"/>
                      <a:ea typeface="Calibri"/>
                    </a:defRPr>
                  </a:pPr>
                  <a:endParaRPr lang="en-NG"/>
                </a:p>
              </c:txPr>
              <c:dLblPos val="bestFit"/>
              <c:showLegendKey val="1"/>
              <c:showVal val="0"/>
              <c:showCatName val="1"/>
              <c:showSerName val="0"/>
              <c:showPercent val="1"/>
              <c:showBubbleSize val="1"/>
              <c:extLst>
                <c:ext xmlns:c15="http://schemas.microsoft.com/office/drawing/2012/chart" uri="{CE6537A1-D6FC-4f65-9D91-7224C49458BB}"/>
                <c:ext xmlns:c16="http://schemas.microsoft.com/office/drawing/2014/chart" uri="{C3380CC4-5D6E-409C-BE32-E72D297353CC}">
                  <c16:uniqueId val="{00000001-1554-46A4-853B-5747D2D84CFA}"/>
                </c:ext>
              </c:extLst>
            </c:dLbl>
            <c:dLbl>
              <c:idx val="1"/>
              <c:spPr/>
              <c:txPr>
                <a:bodyPr/>
                <a:lstStyle/>
                <a:p>
                  <a:pPr>
                    <a:defRPr sz="1000" b="0" strike="noStrike" spc="-1">
                      <a:solidFill>
                        <a:srgbClr val="000000"/>
                      </a:solidFill>
                      <a:latin typeface="Calibri"/>
                      <a:ea typeface="Calibri"/>
                    </a:defRPr>
                  </a:pPr>
                  <a:endParaRPr lang="en-NG"/>
                </a:p>
              </c:txPr>
              <c:dLblPos val="bestFit"/>
              <c:showLegendKey val="1"/>
              <c:showVal val="0"/>
              <c:showCatName val="1"/>
              <c:showSerName val="0"/>
              <c:showPercent val="1"/>
              <c:showBubbleSize val="1"/>
              <c:extLst>
                <c:ext xmlns:c15="http://schemas.microsoft.com/office/drawing/2012/chart" uri="{CE6537A1-D6FC-4f65-9D91-7224C49458BB}"/>
                <c:ext xmlns:c16="http://schemas.microsoft.com/office/drawing/2014/chart" uri="{C3380CC4-5D6E-409C-BE32-E72D297353CC}">
                  <c16:uniqueId val="{00000003-1554-46A4-853B-5747D2D84CFA}"/>
                </c:ext>
              </c:extLst>
            </c:dLbl>
            <c:dLbl>
              <c:idx val="2"/>
              <c:spPr/>
              <c:txPr>
                <a:bodyPr/>
                <a:lstStyle/>
                <a:p>
                  <a:pPr>
                    <a:defRPr sz="1000" b="0" strike="noStrike" spc="-1">
                      <a:solidFill>
                        <a:srgbClr val="000000"/>
                      </a:solidFill>
                      <a:latin typeface="Calibri"/>
                      <a:ea typeface="Calibri"/>
                    </a:defRPr>
                  </a:pPr>
                  <a:endParaRPr lang="en-NG"/>
                </a:p>
              </c:txPr>
              <c:dLblPos val="bestFit"/>
              <c:showLegendKey val="1"/>
              <c:showVal val="0"/>
              <c:showCatName val="1"/>
              <c:showSerName val="0"/>
              <c:showPercent val="1"/>
              <c:showBubbleSize val="1"/>
              <c:extLst>
                <c:ext xmlns:c15="http://schemas.microsoft.com/office/drawing/2012/chart" uri="{CE6537A1-D6FC-4f65-9D91-7224C49458BB}"/>
                <c:ext xmlns:c16="http://schemas.microsoft.com/office/drawing/2014/chart" uri="{C3380CC4-5D6E-409C-BE32-E72D297353CC}">
                  <c16:uniqueId val="{00000005-1554-46A4-853B-5747D2D84CFA}"/>
                </c:ext>
              </c:extLst>
            </c:dLbl>
            <c:dLbl>
              <c:idx val="3"/>
              <c:spPr/>
              <c:txPr>
                <a:bodyPr/>
                <a:lstStyle/>
                <a:p>
                  <a:pPr>
                    <a:defRPr sz="1000" b="0" strike="noStrike" spc="-1">
                      <a:solidFill>
                        <a:srgbClr val="000000"/>
                      </a:solidFill>
                      <a:latin typeface="Calibri"/>
                      <a:ea typeface="Calibri"/>
                    </a:defRPr>
                  </a:pPr>
                  <a:endParaRPr lang="en-NG"/>
                </a:p>
              </c:txPr>
              <c:dLblPos val="bestFit"/>
              <c:showLegendKey val="1"/>
              <c:showVal val="0"/>
              <c:showCatName val="1"/>
              <c:showSerName val="0"/>
              <c:showPercent val="1"/>
              <c:showBubbleSize val="1"/>
              <c:extLst>
                <c:ext xmlns:c15="http://schemas.microsoft.com/office/drawing/2012/chart" uri="{CE6537A1-D6FC-4f65-9D91-7224C49458BB}"/>
                <c:ext xmlns:c16="http://schemas.microsoft.com/office/drawing/2014/chart" uri="{C3380CC4-5D6E-409C-BE32-E72D297353CC}">
                  <c16:uniqueId val="{00000007-1554-46A4-853B-5747D2D84CFA}"/>
                </c:ext>
              </c:extLst>
            </c:dLbl>
            <c:dLbl>
              <c:idx val="4"/>
              <c:spPr/>
              <c:txPr>
                <a:bodyPr/>
                <a:lstStyle/>
                <a:p>
                  <a:pPr>
                    <a:defRPr sz="1000" b="0" strike="noStrike" spc="-1">
                      <a:solidFill>
                        <a:srgbClr val="000000"/>
                      </a:solidFill>
                      <a:latin typeface="Calibri"/>
                      <a:ea typeface="Calibri"/>
                    </a:defRPr>
                  </a:pPr>
                  <a:endParaRPr lang="en-NG"/>
                </a:p>
              </c:txPr>
              <c:dLblPos val="bestFit"/>
              <c:showLegendKey val="1"/>
              <c:showVal val="0"/>
              <c:showCatName val="1"/>
              <c:showSerName val="0"/>
              <c:showPercent val="1"/>
              <c:showBubbleSize val="1"/>
              <c:extLst>
                <c:ext xmlns:c15="http://schemas.microsoft.com/office/drawing/2012/chart" uri="{CE6537A1-D6FC-4f65-9D91-7224C49458BB}"/>
                <c:ext xmlns:c16="http://schemas.microsoft.com/office/drawing/2014/chart" uri="{C3380CC4-5D6E-409C-BE32-E72D297353CC}">
                  <c16:uniqueId val="{00000009-1554-46A4-853B-5747D2D84CFA}"/>
                </c:ext>
              </c:extLst>
            </c:dLbl>
            <c:spPr>
              <a:noFill/>
              <a:ln>
                <a:noFill/>
              </a:ln>
              <a:effectLst/>
            </c:spPr>
            <c:txPr>
              <a:bodyPr/>
              <a:lstStyle/>
              <a:p>
                <a:pPr>
                  <a:defRPr sz="1000" b="0" strike="noStrike" spc="-1">
                    <a:solidFill>
                      <a:srgbClr val="000000"/>
                    </a:solidFill>
                    <a:latin typeface="Calibri"/>
                    <a:ea typeface="Calibri"/>
                  </a:defRPr>
                </a:pPr>
                <a:endParaRPr lang="en-NG"/>
              </a:p>
            </c:txPr>
            <c:dLblPos val="bestFit"/>
            <c:showLegendKey val="1"/>
            <c:showVal val="0"/>
            <c:showCatName val="1"/>
            <c:showSerName val="0"/>
            <c:showPercent val="1"/>
            <c:showBubbleSize val="1"/>
            <c:separator>; </c:separator>
            <c:showLeaderLines val="0"/>
            <c:extLst>
              <c:ext xmlns:c15="http://schemas.microsoft.com/office/drawing/2012/chart" uri="{CE6537A1-D6FC-4f65-9D91-7224C49458BB}"/>
            </c:extLst>
          </c:dLbls>
          <c:cat>
            <c:strRef>
              <c:f>'Main Capital Allocations '!$A$48:$A$52</c:f>
              <c:strCache>
                <c:ptCount val="5"/>
                <c:pt idx="0">
                  <c:v>Construction/ Rehabilitation/ upgrading of Hospitals/Health Centres </c:v>
                </c:pt>
                <c:pt idx="1">
                  <c:v>upgrading of Health Infrastructures &amp; provision of PPE &amp; other Covid-19 responsive items</c:v>
                </c:pt>
                <c:pt idx="2">
                  <c:v>Construction &amp; Rehabilitation of roads to access Health Facilities (Rual/ Urban)</c:v>
                </c:pt>
                <c:pt idx="3">
                  <c:v>Constructio of access road to health facilities to rural</c:v>
                </c:pt>
                <c:pt idx="4">
                  <c:v>Other Capital Projects</c:v>
                </c:pt>
              </c:strCache>
            </c:strRef>
          </c:cat>
          <c:val>
            <c:numRef>
              <c:f>'Main Capital Allocations '!$B$48:$B$52</c:f>
              <c:numCache>
                <c:formatCode>#,##0</c:formatCode>
                <c:ptCount val="5"/>
                <c:pt idx="0">
                  <c:v>2700000000</c:v>
                </c:pt>
                <c:pt idx="1">
                  <c:v>300000000</c:v>
                </c:pt>
                <c:pt idx="2">
                  <c:v>3000000000</c:v>
                </c:pt>
                <c:pt idx="3">
                  <c:v>19583758000</c:v>
                </c:pt>
                <c:pt idx="4" formatCode="_(* #.##0_);_(* \(#.##0\);_(* \-??_);_(@_)">
                  <c:v>8200488602</c:v>
                </c:pt>
              </c:numCache>
            </c:numRef>
          </c:val>
          <c:extLst>
            <c:ext xmlns:c16="http://schemas.microsoft.com/office/drawing/2014/chart" uri="{C3380CC4-5D6E-409C-BE32-E72D297353CC}">
              <c16:uniqueId val="{0000000A-1554-46A4-853B-5747D2D84CFA}"/>
            </c:ext>
          </c:extLst>
        </c:ser>
        <c:dLbls>
          <c:showLegendKey val="0"/>
          <c:showVal val="0"/>
          <c:showCatName val="0"/>
          <c:showSerName val="0"/>
          <c:showPercent val="0"/>
          <c:showBubbleSize val="0"/>
          <c:showLeaderLines val="0"/>
        </c:dLbls>
        <c:firstSliceAng val="0"/>
      </c:pieChart>
      <c:spPr>
        <a:solidFill>
          <a:srgbClr val="FFFFFF"/>
        </a:solidFill>
        <a:ln>
          <a:noFill/>
        </a:ln>
      </c:spPr>
    </c:plotArea>
    <c:legend>
      <c:legendPos val="r"/>
      <c:overlay val="0"/>
      <c:spPr>
        <a:noFill/>
        <a:ln>
          <a:noFill/>
        </a:ln>
      </c:spPr>
      <c:txPr>
        <a:bodyPr/>
        <a:lstStyle/>
        <a:p>
          <a:pPr>
            <a:defRPr sz="1000" b="0" strike="noStrike" spc="-1">
              <a:solidFill>
                <a:srgbClr val="1A1A1A"/>
              </a:solidFill>
              <a:latin typeface="Calibri"/>
              <a:ea typeface="Calibri"/>
            </a:defRPr>
          </a:pPr>
          <a:endParaRPr lang="en-NG"/>
        </a:p>
      </c:txPr>
    </c:legend>
    <c:plotVisOnly val="1"/>
    <c:dispBlanksAs val="zero"/>
    <c:showDLblsOverMax val="1"/>
  </c:chart>
  <c:spPr>
    <a:solidFill>
      <a:srgbClr val="FFFFFF"/>
    </a:solidFill>
    <a:ln>
      <a:noFill/>
    </a:ln>
  </c:sp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D0F7D91-C517-4090-BC11-AB7B1E44BC40}" type="doc">
      <dgm:prSet loTypeId="urn:microsoft.com/office/officeart/2005/8/layout/cycle3" loCatId="cycle" qsTypeId="urn:microsoft.com/office/officeart/2005/8/quickstyle/simple1" qsCatId="simple" csTypeId="urn:microsoft.com/office/officeart/2005/8/colors/accent1_2" csCatId="accent1" phldr="1"/>
      <dgm:spPr/>
      <dgm:t>
        <a:bodyPr/>
        <a:lstStyle/>
        <a:p>
          <a:endParaRPr lang="en-US"/>
        </a:p>
      </dgm:t>
    </dgm:pt>
    <dgm:pt modelId="{FD63ACE6-5F71-4269-B061-C9D3B8CA83B6}">
      <dgm:prSet phldrT="[Text]"/>
      <dgm:spPr/>
      <dgm:t>
        <a:bodyPr/>
        <a:lstStyle/>
        <a:p>
          <a:r>
            <a:rPr lang="en-US">
              <a:solidFill>
                <a:srgbClr val="7030A0"/>
              </a:solidFill>
            </a:rPr>
            <a:t>BUDGET FORMULATION</a:t>
          </a:r>
        </a:p>
      </dgm:t>
    </dgm:pt>
    <dgm:pt modelId="{9FAEA00B-81BB-4B9F-9E8A-08E02A1DE49A}" type="parTrans" cxnId="{B0E15155-4E49-4A29-98A0-D0503BE5A709}">
      <dgm:prSet/>
      <dgm:spPr/>
      <dgm:t>
        <a:bodyPr/>
        <a:lstStyle/>
        <a:p>
          <a:endParaRPr lang="en-US"/>
        </a:p>
      </dgm:t>
    </dgm:pt>
    <dgm:pt modelId="{64E3B0F1-4CAB-4EB6-8D85-85CA58460B90}" type="sibTrans" cxnId="{B0E15155-4E49-4A29-98A0-D0503BE5A709}">
      <dgm:prSet/>
      <dgm:spPr/>
      <dgm:t>
        <a:bodyPr/>
        <a:lstStyle/>
        <a:p>
          <a:endParaRPr lang="en-US"/>
        </a:p>
      </dgm:t>
    </dgm:pt>
    <dgm:pt modelId="{BAE4C5A1-AFFE-4A35-8586-6077470B972B}">
      <dgm:prSet phldrT="[Text]"/>
      <dgm:spPr/>
      <dgm:t>
        <a:bodyPr/>
        <a:lstStyle/>
        <a:p>
          <a:r>
            <a:rPr lang="en-US">
              <a:solidFill>
                <a:srgbClr val="FF0000"/>
              </a:solidFill>
            </a:rPr>
            <a:t>BUDGET APPROVAL</a:t>
          </a:r>
        </a:p>
      </dgm:t>
    </dgm:pt>
    <dgm:pt modelId="{2C7FAE62-DB63-48E3-A6EF-E66EF85F20AA}" type="parTrans" cxnId="{F5E0577B-C0AF-40FE-B8AB-DF756EB1E163}">
      <dgm:prSet/>
      <dgm:spPr/>
      <dgm:t>
        <a:bodyPr/>
        <a:lstStyle/>
        <a:p>
          <a:endParaRPr lang="en-US"/>
        </a:p>
      </dgm:t>
    </dgm:pt>
    <dgm:pt modelId="{A3F65627-9FB5-4FC2-B570-44AFDD4B7DDD}" type="sibTrans" cxnId="{F5E0577B-C0AF-40FE-B8AB-DF756EB1E163}">
      <dgm:prSet/>
      <dgm:spPr/>
      <dgm:t>
        <a:bodyPr/>
        <a:lstStyle/>
        <a:p>
          <a:endParaRPr lang="en-US"/>
        </a:p>
      </dgm:t>
    </dgm:pt>
    <dgm:pt modelId="{7C0BC18F-A365-4322-BBFF-56CC3D983947}">
      <dgm:prSet phldrT="[Text]"/>
      <dgm:spPr/>
      <dgm:t>
        <a:bodyPr/>
        <a:lstStyle/>
        <a:p>
          <a:r>
            <a:rPr lang="en-US">
              <a:solidFill>
                <a:srgbClr val="002060"/>
              </a:solidFill>
            </a:rPr>
            <a:t>BUDGET EXECUTION</a:t>
          </a:r>
        </a:p>
      </dgm:t>
    </dgm:pt>
    <dgm:pt modelId="{C98035B6-3449-45DA-AF1B-852C18C574CD}" type="parTrans" cxnId="{D7EFD899-F122-4C66-970A-6AAB7343A3D2}">
      <dgm:prSet/>
      <dgm:spPr/>
      <dgm:t>
        <a:bodyPr/>
        <a:lstStyle/>
        <a:p>
          <a:endParaRPr lang="en-US"/>
        </a:p>
      </dgm:t>
    </dgm:pt>
    <dgm:pt modelId="{C2CD9D25-9A88-4931-9BE9-84011C4EF5CC}" type="sibTrans" cxnId="{D7EFD899-F122-4C66-970A-6AAB7343A3D2}">
      <dgm:prSet/>
      <dgm:spPr/>
      <dgm:t>
        <a:bodyPr/>
        <a:lstStyle/>
        <a:p>
          <a:endParaRPr lang="en-US"/>
        </a:p>
      </dgm:t>
    </dgm:pt>
    <dgm:pt modelId="{424ABC89-B12B-4A45-A03E-A6FC69C0A813}">
      <dgm:prSet phldrT="[Text]"/>
      <dgm:spPr/>
      <dgm:t>
        <a:bodyPr/>
        <a:lstStyle/>
        <a:p>
          <a:r>
            <a:rPr lang="en-US">
              <a:solidFill>
                <a:srgbClr val="92D050"/>
              </a:solidFill>
            </a:rPr>
            <a:t>BUDGET OVERSIIGHT</a:t>
          </a:r>
        </a:p>
      </dgm:t>
    </dgm:pt>
    <dgm:pt modelId="{9F94AB3F-61F0-41AD-9BBF-FBFFCA00DA66}" type="parTrans" cxnId="{E7452A76-0D69-418F-BC15-98773DF4E42F}">
      <dgm:prSet/>
      <dgm:spPr/>
      <dgm:t>
        <a:bodyPr/>
        <a:lstStyle/>
        <a:p>
          <a:endParaRPr lang="en-US"/>
        </a:p>
      </dgm:t>
    </dgm:pt>
    <dgm:pt modelId="{A79401D4-1850-477A-ADDE-E43D85BC2477}" type="sibTrans" cxnId="{E7452A76-0D69-418F-BC15-98773DF4E42F}">
      <dgm:prSet/>
      <dgm:spPr/>
      <dgm:t>
        <a:bodyPr/>
        <a:lstStyle/>
        <a:p>
          <a:endParaRPr lang="en-US"/>
        </a:p>
      </dgm:t>
    </dgm:pt>
    <dgm:pt modelId="{C1434B81-F31F-44D8-85C9-B4F324EB82CC}" type="pres">
      <dgm:prSet presAssocID="{4D0F7D91-C517-4090-BC11-AB7B1E44BC40}" presName="Name0" presStyleCnt="0">
        <dgm:presLayoutVars>
          <dgm:dir/>
          <dgm:resizeHandles val="exact"/>
        </dgm:presLayoutVars>
      </dgm:prSet>
      <dgm:spPr/>
    </dgm:pt>
    <dgm:pt modelId="{ED906C49-573F-451D-8B42-2F1168A799A7}" type="pres">
      <dgm:prSet presAssocID="{4D0F7D91-C517-4090-BC11-AB7B1E44BC40}" presName="cycle" presStyleCnt="0"/>
      <dgm:spPr/>
    </dgm:pt>
    <dgm:pt modelId="{210523EF-BBA8-4231-A51F-C0F330DEED8F}" type="pres">
      <dgm:prSet presAssocID="{FD63ACE6-5F71-4269-B061-C9D3B8CA83B6}" presName="nodeFirstNode" presStyleLbl="node1" presStyleIdx="0" presStyleCnt="4">
        <dgm:presLayoutVars>
          <dgm:bulletEnabled val="1"/>
        </dgm:presLayoutVars>
      </dgm:prSet>
      <dgm:spPr/>
    </dgm:pt>
    <dgm:pt modelId="{9F9053DD-A3C1-489E-A5F6-D2AEF20F82B0}" type="pres">
      <dgm:prSet presAssocID="{64E3B0F1-4CAB-4EB6-8D85-85CA58460B90}" presName="sibTransFirstNode" presStyleLbl="bgShp" presStyleIdx="0" presStyleCnt="1"/>
      <dgm:spPr/>
    </dgm:pt>
    <dgm:pt modelId="{D45D0298-A546-4D51-9BB4-395C8AF9380F}" type="pres">
      <dgm:prSet presAssocID="{BAE4C5A1-AFFE-4A35-8586-6077470B972B}" presName="nodeFollowingNodes" presStyleLbl="node1" presStyleIdx="1" presStyleCnt="4">
        <dgm:presLayoutVars>
          <dgm:bulletEnabled val="1"/>
        </dgm:presLayoutVars>
      </dgm:prSet>
      <dgm:spPr/>
    </dgm:pt>
    <dgm:pt modelId="{60F8C429-576A-4BBE-B0B0-A829EF4F15A3}" type="pres">
      <dgm:prSet presAssocID="{7C0BC18F-A365-4322-BBFF-56CC3D983947}" presName="nodeFollowingNodes" presStyleLbl="node1" presStyleIdx="2" presStyleCnt="4" custRadScaleRad="100913" custRadScaleInc="626">
        <dgm:presLayoutVars>
          <dgm:bulletEnabled val="1"/>
        </dgm:presLayoutVars>
      </dgm:prSet>
      <dgm:spPr/>
    </dgm:pt>
    <dgm:pt modelId="{961C2B8A-125A-46C4-8162-3FD98D4AD815}" type="pres">
      <dgm:prSet presAssocID="{424ABC89-B12B-4A45-A03E-A6FC69C0A813}" presName="nodeFollowingNodes" presStyleLbl="node1" presStyleIdx="3" presStyleCnt="4">
        <dgm:presLayoutVars>
          <dgm:bulletEnabled val="1"/>
        </dgm:presLayoutVars>
      </dgm:prSet>
      <dgm:spPr/>
    </dgm:pt>
  </dgm:ptLst>
  <dgm:cxnLst>
    <dgm:cxn modelId="{E511031B-44C5-4450-92BC-7EE2AFD07C59}" type="presOf" srcId="{BAE4C5A1-AFFE-4A35-8586-6077470B972B}" destId="{D45D0298-A546-4D51-9BB4-395C8AF9380F}" srcOrd="0" destOrd="0" presId="urn:microsoft.com/office/officeart/2005/8/layout/cycle3"/>
    <dgm:cxn modelId="{08B9B827-F2D8-4EB5-BE30-1FADF087400A}" type="presOf" srcId="{7C0BC18F-A365-4322-BBFF-56CC3D983947}" destId="{60F8C429-576A-4BBE-B0B0-A829EF4F15A3}" srcOrd="0" destOrd="0" presId="urn:microsoft.com/office/officeart/2005/8/layout/cycle3"/>
    <dgm:cxn modelId="{BEE3A731-BB34-4072-A9F4-91D8F4C2A51D}" type="presOf" srcId="{424ABC89-B12B-4A45-A03E-A6FC69C0A813}" destId="{961C2B8A-125A-46C4-8162-3FD98D4AD815}" srcOrd="0" destOrd="0" presId="urn:microsoft.com/office/officeart/2005/8/layout/cycle3"/>
    <dgm:cxn modelId="{A8F86273-8142-4DDC-83EC-AFE34097619D}" type="presOf" srcId="{4D0F7D91-C517-4090-BC11-AB7B1E44BC40}" destId="{C1434B81-F31F-44D8-85C9-B4F324EB82CC}" srcOrd="0" destOrd="0" presId="urn:microsoft.com/office/officeart/2005/8/layout/cycle3"/>
    <dgm:cxn modelId="{B0E15155-4E49-4A29-98A0-D0503BE5A709}" srcId="{4D0F7D91-C517-4090-BC11-AB7B1E44BC40}" destId="{FD63ACE6-5F71-4269-B061-C9D3B8CA83B6}" srcOrd="0" destOrd="0" parTransId="{9FAEA00B-81BB-4B9F-9E8A-08E02A1DE49A}" sibTransId="{64E3B0F1-4CAB-4EB6-8D85-85CA58460B90}"/>
    <dgm:cxn modelId="{E7452A76-0D69-418F-BC15-98773DF4E42F}" srcId="{4D0F7D91-C517-4090-BC11-AB7B1E44BC40}" destId="{424ABC89-B12B-4A45-A03E-A6FC69C0A813}" srcOrd="3" destOrd="0" parTransId="{9F94AB3F-61F0-41AD-9BBF-FBFFCA00DA66}" sibTransId="{A79401D4-1850-477A-ADDE-E43D85BC2477}"/>
    <dgm:cxn modelId="{F5E0577B-C0AF-40FE-B8AB-DF756EB1E163}" srcId="{4D0F7D91-C517-4090-BC11-AB7B1E44BC40}" destId="{BAE4C5A1-AFFE-4A35-8586-6077470B972B}" srcOrd="1" destOrd="0" parTransId="{2C7FAE62-DB63-48E3-A6EF-E66EF85F20AA}" sibTransId="{A3F65627-9FB5-4FC2-B570-44AFDD4B7DDD}"/>
    <dgm:cxn modelId="{D7EFD899-F122-4C66-970A-6AAB7343A3D2}" srcId="{4D0F7D91-C517-4090-BC11-AB7B1E44BC40}" destId="{7C0BC18F-A365-4322-BBFF-56CC3D983947}" srcOrd="2" destOrd="0" parTransId="{C98035B6-3449-45DA-AF1B-852C18C574CD}" sibTransId="{C2CD9D25-9A88-4931-9BE9-84011C4EF5CC}"/>
    <dgm:cxn modelId="{0B059AC5-7B6E-4F29-AE02-81959C01C588}" type="presOf" srcId="{64E3B0F1-4CAB-4EB6-8D85-85CA58460B90}" destId="{9F9053DD-A3C1-489E-A5F6-D2AEF20F82B0}" srcOrd="0" destOrd="0" presId="urn:microsoft.com/office/officeart/2005/8/layout/cycle3"/>
    <dgm:cxn modelId="{E25E8AFC-9D7A-4ECB-993C-F2815CE1FBE9}" type="presOf" srcId="{FD63ACE6-5F71-4269-B061-C9D3B8CA83B6}" destId="{210523EF-BBA8-4231-A51F-C0F330DEED8F}" srcOrd="0" destOrd="0" presId="urn:microsoft.com/office/officeart/2005/8/layout/cycle3"/>
    <dgm:cxn modelId="{6E10C060-1C73-4FC7-A1B7-49E852848C79}" type="presParOf" srcId="{C1434B81-F31F-44D8-85C9-B4F324EB82CC}" destId="{ED906C49-573F-451D-8B42-2F1168A799A7}" srcOrd="0" destOrd="0" presId="urn:microsoft.com/office/officeart/2005/8/layout/cycle3"/>
    <dgm:cxn modelId="{BC21B7E1-AEE8-4D4E-BC63-0CC94F321A05}" type="presParOf" srcId="{ED906C49-573F-451D-8B42-2F1168A799A7}" destId="{210523EF-BBA8-4231-A51F-C0F330DEED8F}" srcOrd="0" destOrd="0" presId="urn:microsoft.com/office/officeart/2005/8/layout/cycle3"/>
    <dgm:cxn modelId="{5A12E3C3-9411-4618-974A-BC83FE880DB1}" type="presParOf" srcId="{ED906C49-573F-451D-8B42-2F1168A799A7}" destId="{9F9053DD-A3C1-489E-A5F6-D2AEF20F82B0}" srcOrd="1" destOrd="0" presId="urn:microsoft.com/office/officeart/2005/8/layout/cycle3"/>
    <dgm:cxn modelId="{EC9E286B-3B44-4209-A8C6-010FA63DC065}" type="presParOf" srcId="{ED906C49-573F-451D-8B42-2F1168A799A7}" destId="{D45D0298-A546-4D51-9BB4-395C8AF9380F}" srcOrd="2" destOrd="0" presId="urn:microsoft.com/office/officeart/2005/8/layout/cycle3"/>
    <dgm:cxn modelId="{85E8C9AB-AB51-4DBF-8E58-428BA7A84388}" type="presParOf" srcId="{ED906C49-573F-451D-8B42-2F1168A799A7}" destId="{60F8C429-576A-4BBE-B0B0-A829EF4F15A3}" srcOrd="3" destOrd="0" presId="urn:microsoft.com/office/officeart/2005/8/layout/cycle3"/>
    <dgm:cxn modelId="{FE4E9D5A-121F-4871-A5B9-114A3EF452B1}" type="presParOf" srcId="{ED906C49-573F-451D-8B42-2F1168A799A7}" destId="{961C2B8A-125A-46C4-8162-3FD98D4AD815}" srcOrd="4" destOrd="0" presId="urn:microsoft.com/office/officeart/2005/8/layout/cycle3"/>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F9053DD-A3C1-489E-A5F6-D2AEF20F82B0}">
      <dsp:nvSpPr>
        <dsp:cNvPr id="0" name=""/>
        <dsp:cNvSpPr/>
      </dsp:nvSpPr>
      <dsp:spPr>
        <a:xfrm>
          <a:off x="1195084" y="-53983"/>
          <a:ext cx="3096231" cy="3096231"/>
        </a:xfrm>
        <a:prstGeom prst="circularArrow">
          <a:avLst>
            <a:gd name="adj1" fmla="val 4668"/>
            <a:gd name="adj2" fmla="val 272909"/>
            <a:gd name="adj3" fmla="val 13040823"/>
            <a:gd name="adj4" fmla="val 17889737"/>
            <a:gd name="adj5" fmla="val 4847"/>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210523EF-BBA8-4231-A51F-C0F330DEED8F}">
      <dsp:nvSpPr>
        <dsp:cNvPr id="0" name=""/>
        <dsp:cNvSpPr/>
      </dsp:nvSpPr>
      <dsp:spPr>
        <a:xfrm>
          <a:off x="1768078" y="886"/>
          <a:ext cx="1950243" cy="975121"/>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0010" tIns="80010" rIns="80010" bIns="80010" numCol="1" spcCol="1270" anchor="ctr" anchorCtr="0">
          <a:noAutofit/>
        </a:bodyPr>
        <a:lstStyle/>
        <a:p>
          <a:pPr marL="0" lvl="0" indent="0" algn="ctr" defTabSz="933450">
            <a:lnSpc>
              <a:spcPct val="90000"/>
            </a:lnSpc>
            <a:spcBef>
              <a:spcPct val="0"/>
            </a:spcBef>
            <a:spcAft>
              <a:spcPct val="35000"/>
            </a:spcAft>
            <a:buNone/>
          </a:pPr>
          <a:r>
            <a:rPr lang="en-US" sz="2100" kern="1200">
              <a:solidFill>
                <a:srgbClr val="7030A0"/>
              </a:solidFill>
            </a:rPr>
            <a:t>BUDGET FORMULATION</a:t>
          </a:r>
        </a:p>
      </dsp:txBody>
      <dsp:txXfrm>
        <a:off x="1815679" y="48487"/>
        <a:ext cx="1855041" cy="879919"/>
      </dsp:txXfrm>
    </dsp:sp>
    <dsp:sp modelId="{D45D0298-A546-4D51-9BB4-395C8AF9380F}">
      <dsp:nvSpPr>
        <dsp:cNvPr id="0" name=""/>
        <dsp:cNvSpPr/>
      </dsp:nvSpPr>
      <dsp:spPr>
        <a:xfrm>
          <a:off x="2879830" y="1112639"/>
          <a:ext cx="1950243" cy="975121"/>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0010" tIns="80010" rIns="80010" bIns="80010" numCol="1" spcCol="1270" anchor="ctr" anchorCtr="0">
          <a:noAutofit/>
        </a:bodyPr>
        <a:lstStyle/>
        <a:p>
          <a:pPr marL="0" lvl="0" indent="0" algn="ctr" defTabSz="933450">
            <a:lnSpc>
              <a:spcPct val="90000"/>
            </a:lnSpc>
            <a:spcBef>
              <a:spcPct val="0"/>
            </a:spcBef>
            <a:spcAft>
              <a:spcPct val="35000"/>
            </a:spcAft>
            <a:buNone/>
          </a:pPr>
          <a:r>
            <a:rPr lang="en-US" sz="2100" kern="1200">
              <a:solidFill>
                <a:srgbClr val="FF0000"/>
              </a:solidFill>
            </a:rPr>
            <a:t>BUDGET APPROVAL</a:t>
          </a:r>
        </a:p>
      </dsp:txBody>
      <dsp:txXfrm>
        <a:off x="2927431" y="1160240"/>
        <a:ext cx="1855041" cy="879919"/>
      </dsp:txXfrm>
    </dsp:sp>
    <dsp:sp modelId="{60F8C429-576A-4BBE-B0B0-A829EF4F15A3}">
      <dsp:nvSpPr>
        <dsp:cNvPr id="0" name=""/>
        <dsp:cNvSpPr/>
      </dsp:nvSpPr>
      <dsp:spPr>
        <a:xfrm>
          <a:off x="1759252" y="2225278"/>
          <a:ext cx="1950243" cy="975121"/>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0010" tIns="80010" rIns="80010" bIns="80010" numCol="1" spcCol="1270" anchor="ctr" anchorCtr="0">
          <a:noAutofit/>
        </a:bodyPr>
        <a:lstStyle/>
        <a:p>
          <a:pPr marL="0" lvl="0" indent="0" algn="ctr" defTabSz="933450">
            <a:lnSpc>
              <a:spcPct val="90000"/>
            </a:lnSpc>
            <a:spcBef>
              <a:spcPct val="0"/>
            </a:spcBef>
            <a:spcAft>
              <a:spcPct val="35000"/>
            </a:spcAft>
            <a:buNone/>
          </a:pPr>
          <a:r>
            <a:rPr lang="en-US" sz="2100" kern="1200">
              <a:solidFill>
                <a:srgbClr val="002060"/>
              </a:solidFill>
            </a:rPr>
            <a:t>BUDGET EXECUTION</a:t>
          </a:r>
        </a:p>
      </dsp:txBody>
      <dsp:txXfrm>
        <a:off x="1806853" y="2272879"/>
        <a:ext cx="1855041" cy="879919"/>
      </dsp:txXfrm>
    </dsp:sp>
    <dsp:sp modelId="{961C2B8A-125A-46C4-8162-3FD98D4AD815}">
      <dsp:nvSpPr>
        <dsp:cNvPr id="0" name=""/>
        <dsp:cNvSpPr/>
      </dsp:nvSpPr>
      <dsp:spPr>
        <a:xfrm>
          <a:off x="656325" y="1112639"/>
          <a:ext cx="1950243" cy="975121"/>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0010" tIns="80010" rIns="80010" bIns="80010" numCol="1" spcCol="1270" anchor="ctr" anchorCtr="0">
          <a:noAutofit/>
        </a:bodyPr>
        <a:lstStyle/>
        <a:p>
          <a:pPr marL="0" lvl="0" indent="0" algn="ctr" defTabSz="933450">
            <a:lnSpc>
              <a:spcPct val="90000"/>
            </a:lnSpc>
            <a:spcBef>
              <a:spcPct val="0"/>
            </a:spcBef>
            <a:spcAft>
              <a:spcPct val="35000"/>
            </a:spcAft>
            <a:buNone/>
          </a:pPr>
          <a:r>
            <a:rPr lang="en-US" sz="2100" kern="1200">
              <a:solidFill>
                <a:srgbClr val="92D050"/>
              </a:solidFill>
            </a:rPr>
            <a:t>BUDGET OVERSIIGHT</a:t>
          </a:r>
        </a:p>
      </dsp:txBody>
      <dsp:txXfrm>
        <a:off x="703926" y="1160240"/>
        <a:ext cx="1855041" cy="879919"/>
      </dsp:txXfrm>
    </dsp:sp>
  </dsp:spTree>
</dsp:drawing>
</file>

<file path=word/diagrams/layout1.xml><?xml version="1.0" encoding="utf-8"?>
<dgm:layoutDef xmlns:dgm="http://schemas.openxmlformats.org/drawingml/2006/diagram" xmlns:a="http://schemas.openxmlformats.org/drawingml/2006/main" uniqueId="urn:microsoft.com/office/officeart/2005/8/layout/cycle3">
  <dgm:title val=""/>
  <dgm:desc val=""/>
  <dgm:catLst>
    <dgm:cat type="cycle" pri="5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axis="ch" ptType="node" func="cnt" op="equ" val="2">
        <dgm:alg type="composite">
          <dgm:param type="ar" val="0.9"/>
        </dgm:alg>
        <dgm:shape xmlns:r="http://schemas.openxmlformats.org/officeDocument/2006/relationships" r:blip="">
          <dgm:adjLst/>
        </dgm:shape>
        <dgm:presOf/>
        <dgm:constrLst>
          <dgm:constr type="primFontSz" for="ch" ptType="node" op="equ" val="65"/>
          <dgm:constr type="ctrX" for="ch" forName="node1" refType="w" fact="0.5"/>
          <dgm:constr type="t" for="ch" forName="node1"/>
          <dgm:constr type="w" for="ch" forName="node1" refType="w" fact="0.8"/>
          <dgm:constr type="h" for="ch" forName="node1" refType="w" refFor="ch" refForName="node1" fact="0.5"/>
          <dgm:constr type="ctrX" for="ch" forName="sibTrans" refType="w" fact="0.5"/>
          <dgm:constr type="t" for="ch" forName="sibTrans"/>
          <dgm:constr type="w" for="ch" forName="sibTrans" refType="w" fact="0.8"/>
          <dgm:constr type="h" for="ch" forName="sibTrans" refType="w" refFor="ch" refForName="node1" fact="0.5"/>
          <dgm:constr type="userA" for="ch" forName="sibTrans" refType="w" fact="1.07"/>
          <dgm:constr type="ctrX" for="ch" forName="node2" refType="w" fact="0.5"/>
          <dgm:constr type="b" for="ch" forName="node2" refType="h"/>
          <dgm:constr type="w" for="ch" forName="node2" refType="w" fact="0.8"/>
          <dgm:constr type="h" for="ch" forName="node2" refType="w" refFor="ch" refForName="node1" fact="0.5"/>
          <dgm:constr type="l" for="ch" forName="sp1"/>
          <dgm:constr type="t" for="ch" forName="sp1" refType="h" fact="0.5"/>
          <dgm:constr type="w" for="ch" forName="sp1" val="1"/>
          <dgm:constr type="h" for="ch" forName="sp1" val="1"/>
          <dgm:constr type="r" for="ch" forName="sp2" refType="w"/>
          <dgm:constr type="t" for="ch" forName="sp2" refType="h" fact="0.5"/>
          <dgm:constr type="w" for="ch" forName="sp2" val="1"/>
          <dgm:constr type="h" for="ch" forName="sp2" val="1"/>
        </dgm:constrLst>
        <dgm:ruleLst/>
      </dgm:if>
      <dgm:else name="Name3">
        <dgm:alg type="composite"/>
        <dgm:shape xmlns:r="http://schemas.openxmlformats.org/officeDocument/2006/relationships" r:blip="">
          <dgm:adjLst/>
        </dgm:shape>
        <dgm:presOf/>
        <dgm:constrLst>
          <dgm:constr type="primFontSz" for="ch" ptType="node" op="equ" val="65"/>
        </dgm:constrLst>
        <dgm:ruleLst/>
      </dgm:else>
    </dgm:choose>
    <dgm:choose name="Name4">
      <dgm:if name="Name5" axis="ch" ptType="node" func="cnt" op="equ" val="2">
        <dgm:layoutNode name="node1">
          <dgm:varLst>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ibTrans" styleLbl="bgShp">
          <dgm:choose name="Name6">
            <dgm:if name="Name7" func="var" arg="dir" op="equ" val="norm">
              <dgm:alg type="conn">
                <dgm:param type="connRout" val="longCurve"/>
                <dgm:param type="begPts" val="midR"/>
                <dgm:param type="endPts" val="midL"/>
                <dgm:param type="dstNode" val="node1"/>
              </dgm:alg>
              <dgm:shape xmlns:r="http://schemas.openxmlformats.org/officeDocument/2006/relationships" type="conn" r:blip="" zOrderOff="-2">
                <dgm:adjLst/>
              </dgm:shape>
              <dgm:presOf axis="ch" ptType="sibTrans"/>
              <dgm:constrLst>
                <dgm:constr type="userA"/>
                <dgm:constr type="diam" refType="userA" fact="-1"/>
                <dgm:constr type="wArH" refType="userA" fact="0.05"/>
                <dgm:constr type="hArH" refType="userA" fact="0.1"/>
                <dgm:constr type="stemThick" refType="userA" fact="0.06"/>
                <dgm:constr type="begPad" refType="connDist" fact="-0.2"/>
                <dgm:constr type="endPad" refType="connDist" fact="0.05"/>
              </dgm:constrLst>
            </dgm:if>
            <dgm:else name="Name8">
              <dgm:alg type="conn">
                <dgm:param type="connRout" val="longCurve"/>
                <dgm:param type="begPts" val="midL"/>
                <dgm:param type="endPts" val="midR"/>
                <dgm:param type="dstNode" val="node1"/>
              </dgm:alg>
              <dgm:shape xmlns:r="http://schemas.openxmlformats.org/officeDocument/2006/relationships" type="conn" r:blip="" zOrderOff="-2">
                <dgm:adjLst/>
              </dgm:shape>
              <dgm:presOf axis="ch" ptType="sibTrans"/>
              <dgm:constrLst>
                <dgm:constr type="userA"/>
                <dgm:constr type="diam" refType="userA"/>
                <dgm:constr type="wArH" refType="userA" fact="0.05"/>
                <dgm:constr type="hArH" refType="userA" fact="0.1"/>
                <dgm:constr type="stemThick" refType="userA" fact="0.06"/>
                <dgm:constr type="begPad" refType="connDist" fact="-0.2"/>
                <dgm:constr type="endPad" refType="connDist" fact="0.05"/>
              </dgm:constrLst>
            </dgm:else>
          </dgm:choose>
          <dgm:ruleLst/>
        </dgm:layoutNode>
        <dgm:layoutNode name="node2">
          <dgm:varLst>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p1">
          <dgm:alg type="sp"/>
          <dgm:shape xmlns:r="http://schemas.openxmlformats.org/officeDocument/2006/relationships" r:blip="">
            <dgm:adjLst/>
          </dgm:shape>
          <dgm:presOf/>
          <dgm:constrLst/>
          <dgm:ruleLst/>
        </dgm:layoutNode>
        <dgm:layoutNode name="sp2">
          <dgm:alg type="sp"/>
          <dgm:shape xmlns:r="http://schemas.openxmlformats.org/officeDocument/2006/relationships" r:blip="">
            <dgm:adjLst/>
          </dgm:shape>
          <dgm:presOf/>
          <dgm:constrLst/>
          <dgm:ruleLst/>
        </dgm:layoutNode>
      </dgm:if>
      <dgm:else name="Name9">
        <dgm:layoutNode name="cycle">
          <dgm:choose name="Name10">
            <dgm:if name="Name11" func="var" arg="dir" op="equ" val="norm">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fact="-1"/>
                <dgm:constr type="wArH" for="ch" ptType="sibTrans" refType="diam" op="equ" fact="0.05"/>
                <dgm:constr type="hArH" for="ch" ptType="sibTrans" refType="diam" op="equ" fact="0.1"/>
                <dgm:constr type="stemThick" for="ch" ptType="sibTrans" refType="diam" op="equ" fact="0.065"/>
                <dgm:constr type="primFontSz" for="ch" ptType="node" op="equ"/>
              </dgm:constrLst>
            </dgm:if>
            <dgm:else name="Name12">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dgm:constr type="wArH" for="ch" ptType="sibTrans" refType="diam" op="equ" fact="0.05"/>
                <dgm:constr type="hArH" for="ch" ptType="sibTrans" refType="diam" op="equ" fact="0.1"/>
                <dgm:constr type="stemThick" for="ch" ptType="sibTrans" refType="diam" op="equ" fact="0.065"/>
                <dgm:constr type="primFontSz" for="ch" ptType="node" op="equ"/>
              </dgm:constrLst>
            </dgm:else>
          </dgm:choose>
          <dgm:ruleLst/>
          <dgm:forEach name="nodesFirstNodeForEach" axis="ch" ptType="node" cnt="1">
            <dgm:layoutNode name="nodeFirstNode">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FirstNode" styleLbl="bgShp">
                <dgm:choose name="Name13">
                  <dgm:if name="Name14" func="var" arg="dir" op="equ" val="norm">
                    <dgm:alg type="conn">
                      <dgm:param type="connRout" val="longCurve"/>
                      <dgm:param type="begPts" val="midR"/>
                      <dgm:param type="endPts" val="midL"/>
                      <dgm:param type="dstNode" val="nodeFirstNode"/>
                    </dgm:alg>
                  </dgm:if>
                  <dgm:else name="Name15">
                    <dgm:alg type="conn">
                      <dgm:param type="connRout" val="longCurve"/>
                      <dgm:param type="begPts" val="midL"/>
                      <dgm:param type="endPts" val="midR"/>
                      <dgm:param type="dstNode" val="nodeFirstNode"/>
                    </dgm:alg>
                  </dgm:else>
                </dgm:choose>
                <dgm:shape xmlns:r="http://schemas.openxmlformats.org/officeDocument/2006/relationships" type="conn" r:blip="" zOrderOff="-2">
                  <dgm:adjLst/>
                </dgm:shape>
                <dgm:presOf axis="self"/>
                <dgm:choose name="Name16">
                  <dgm:if name="Name17" axis="par ch" ptType="doc node" func="cnt" op="equ" val="3">
                    <dgm:constrLst>
                      <dgm:constr type="userA"/>
                      <dgm:constr type="diam" refType="userA" fact="1.01"/>
                      <dgm:constr type="begPad" refType="connDist" fact="-0.2"/>
                      <dgm:constr type="endPad" refType="connDist" fact="0.05"/>
                    </dgm:constrLst>
                  </dgm:if>
                  <dgm:if name="Name18" axis="par ch" ptType="doc node" func="cnt" op="equ" val="4">
                    <dgm:constrLst>
                      <dgm:constr type="userA"/>
                      <dgm:constr type="diam" refType="userA" fact="1.26"/>
                      <dgm:constr type="begPad" refType="connDist" fact="-0.2"/>
                      <dgm:constr type="endPad" refType="connDist" fact="0.05"/>
                    </dgm:constrLst>
                  </dgm:if>
                  <dgm:if name="Name19" axis="par ch" ptType="doc node" func="cnt" op="equ" val="5">
                    <dgm:constrLst>
                      <dgm:constr type="userA"/>
                      <dgm:constr type="diam" refType="userA" fact="1.04"/>
                      <dgm:constr type="begPad" refType="connDist" fact="-0.2"/>
                      <dgm:constr type="endPad" refType="connDist" fact="0.05"/>
                    </dgm:constrLst>
                  </dgm:if>
                  <dgm:if name="Name20" axis="par ch" ptType="doc node" func="cnt" op="equ" val="6">
                    <dgm:constrLst>
                      <dgm:constr type="userA"/>
                      <dgm:constr type="diam" refType="userA" fact="1.1"/>
                      <dgm:constr type="begPad" refType="connDist" fact="-0.2"/>
                      <dgm:constr type="endPad" refType="connDist" fact="0.05"/>
                    </dgm:constrLst>
                  </dgm:if>
                  <dgm:else name="Name21">
                    <dgm:constrLst>
                      <dgm:constr type="userA"/>
                      <dgm:constr type="diam" refType="userA" fact="1.04"/>
                      <dgm:constr type="begPad" refType="connDist" fact="-0.2"/>
                      <dgm:constr type="endPad" refType="connDist" fact="0.05"/>
                    </dgm:constrLst>
                  </dgm:else>
                </dgm:choose>
                <dgm:ruleLst/>
              </dgm:layoutNode>
            </dgm:forEach>
          </dgm:forEach>
          <dgm:forEach name="followingNodesForEach" axis="ch" ptType="node" st="2">
            <dgm:layoutNode name="nodeFollowingNodes">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dgm:layoutNode>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D87055-D8E0-4B58-9397-0DA6620AE1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3137</TotalTime>
  <Pages>1</Pages>
  <Words>1845</Words>
  <Characters>10518</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great itali</cp:lastModifiedBy>
  <cp:revision>147</cp:revision>
  <cp:lastPrinted>2019-06-21T09:39:00Z</cp:lastPrinted>
  <dcterms:created xsi:type="dcterms:W3CDTF">2019-06-06T13:43:00Z</dcterms:created>
  <dcterms:modified xsi:type="dcterms:W3CDTF">2020-09-09T16:57:00Z</dcterms:modified>
</cp:coreProperties>
</file>